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BEEB8" w14:textId="77777777" w:rsidR="00FA3EEE" w:rsidRDefault="00FA3EEE" w:rsidP="00FA3EEE">
      <w:pPr>
        <w:shd w:val="clear" w:color="auto" w:fill="FFFFFF"/>
        <w:spacing w:after="240"/>
        <w:ind w:right="14"/>
        <w:jc w:val="center"/>
        <w:rPr>
          <w:color w:val="000000"/>
          <w:spacing w:val="-3"/>
          <w:sz w:val="28"/>
          <w:szCs w:val="28"/>
        </w:rPr>
      </w:pPr>
    </w:p>
    <w:p w14:paraId="07C1DE31" w14:textId="77777777" w:rsidR="00FA3EEE" w:rsidRDefault="00FA3EEE" w:rsidP="00FA3EEE">
      <w:pPr>
        <w:shd w:val="clear" w:color="auto" w:fill="FFFFFF"/>
        <w:spacing w:after="240"/>
        <w:ind w:right="14"/>
        <w:jc w:val="center"/>
        <w:rPr>
          <w:color w:val="000000"/>
          <w:spacing w:val="-3"/>
          <w:sz w:val="28"/>
          <w:szCs w:val="28"/>
        </w:rPr>
      </w:pPr>
    </w:p>
    <w:p w14:paraId="3375AD02" w14:textId="77777777" w:rsidR="00FA3EEE" w:rsidRDefault="00FA3EEE" w:rsidP="00FA3EEE">
      <w:pPr>
        <w:shd w:val="clear" w:color="auto" w:fill="FFFFFF"/>
        <w:spacing w:after="240"/>
        <w:ind w:right="14"/>
        <w:jc w:val="center"/>
        <w:rPr>
          <w:color w:val="000000"/>
          <w:spacing w:val="-3"/>
          <w:sz w:val="28"/>
          <w:szCs w:val="28"/>
        </w:rPr>
      </w:pPr>
    </w:p>
    <w:p w14:paraId="447AE9D6" w14:textId="77777777" w:rsidR="00FA3EEE" w:rsidRDefault="00FA3EEE" w:rsidP="00FA3EEE">
      <w:pPr>
        <w:shd w:val="clear" w:color="auto" w:fill="FFFFFF"/>
        <w:spacing w:after="240"/>
        <w:ind w:right="14"/>
        <w:jc w:val="center"/>
        <w:rPr>
          <w:color w:val="000000"/>
          <w:spacing w:val="-3"/>
          <w:sz w:val="28"/>
          <w:szCs w:val="28"/>
        </w:rPr>
      </w:pPr>
    </w:p>
    <w:p w14:paraId="3A6994DA" w14:textId="77777777" w:rsidR="00FA3EEE" w:rsidRDefault="00FA3EEE" w:rsidP="00FA3EEE">
      <w:pPr>
        <w:shd w:val="clear" w:color="auto" w:fill="FFFFFF"/>
        <w:spacing w:after="240"/>
        <w:ind w:right="14"/>
        <w:jc w:val="center"/>
        <w:rPr>
          <w:color w:val="000000"/>
          <w:spacing w:val="-3"/>
          <w:sz w:val="28"/>
          <w:szCs w:val="28"/>
        </w:rPr>
      </w:pPr>
    </w:p>
    <w:p w14:paraId="7F804E6D" w14:textId="77777777" w:rsidR="00FA3EEE" w:rsidRDefault="00FA3EEE" w:rsidP="00FA3EEE">
      <w:pPr>
        <w:shd w:val="clear" w:color="auto" w:fill="FFFFFF"/>
        <w:spacing w:after="240"/>
        <w:ind w:right="14"/>
        <w:jc w:val="center"/>
        <w:rPr>
          <w:color w:val="000000"/>
          <w:spacing w:val="-3"/>
          <w:sz w:val="28"/>
          <w:szCs w:val="28"/>
        </w:rPr>
      </w:pPr>
    </w:p>
    <w:p w14:paraId="784DA6A0" w14:textId="77777777" w:rsidR="00FA3EEE" w:rsidRDefault="00FA3EEE" w:rsidP="00FA3EEE">
      <w:pPr>
        <w:shd w:val="clear" w:color="auto" w:fill="FFFFFF"/>
        <w:spacing w:after="240"/>
        <w:ind w:right="14"/>
        <w:jc w:val="center"/>
        <w:rPr>
          <w:color w:val="000000"/>
          <w:spacing w:val="-3"/>
          <w:sz w:val="28"/>
          <w:szCs w:val="28"/>
        </w:rPr>
      </w:pPr>
    </w:p>
    <w:p w14:paraId="55FE5238" w14:textId="328AF9D4" w:rsidR="00FA3EEE" w:rsidRPr="00ED56BB" w:rsidRDefault="00FA3EEE" w:rsidP="00FA3EEE">
      <w:pPr>
        <w:shd w:val="clear" w:color="auto" w:fill="FFFFFF"/>
        <w:spacing w:after="240"/>
        <w:ind w:right="14"/>
        <w:jc w:val="center"/>
        <w:rPr>
          <w:sz w:val="28"/>
          <w:szCs w:val="28"/>
        </w:rPr>
      </w:pPr>
      <w:r w:rsidRPr="00ED56BB">
        <w:rPr>
          <w:color w:val="000000"/>
          <w:spacing w:val="-3"/>
          <w:sz w:val="28"/>
          <w:szCs w:val="28"/>
        </w:rPr>
        <w:t>Minnesota Department of Human Services</w:t>
      </w:r>
      <w:r w:rsidR="00921FD5">
        <w:rPr>
          <w:color w:val="000000"/>
          <w:spacing w:val="-3"/>
          <w:sz w:val="28"/>
          <w:szCs w:val="28"/>
        </w:rPr>
        <w:t xml:space="preserve"> (DHS)</w:t>
      </w:r>
    </w:p>
    <w:p w14:paraId="18A4FF32" w14:textId="77777777" w:rsidR="00FA3EEE" w:rsidRPr="00ED56BB" w:rsidRDefault="00FA3EEE" w:rsidP="00FA3EEE">
      <w:pPr>
        <w:shd w:val="clear" w:color="auto" w:fill="FFFFFF"/>
        <w:spacing w:after="240"/>
        <w:jc w:val="center"/>
        <w:rPr>
          <w:color w:val="000000"/>
          <w:spacing w:val="-2"/>
          <w:sz w:val="28"/>
          <w:szCs w:val="28"/>
        </w:rPr>
      </w:pPr>
      <w:r w:rsidRPr="00ED56BB">
        <w:rPr>
          <w:color w:val="000000"/>
          <w:spacing w:val="-2"/>
          <w:sz w:val="28"/>
          <w:szCs w:val="28"/>
        </w:rPr>
        <w:t>Financial Review Checklist for</w:t>
      </w:r>
    </w:p>
    <w:p w14:paraId="0CDED445" w14:textId="77777777" w:rsidR="00FA3EEE" w:rsidRPr="00ED56BB" w:rsidRDefault="00FA3EEE" w:rsidP="00FA3EEE">
      <w:pPr>
        <w:shd w:val="clear" w:color="auto" w:fill="FFFFFF"/>
        <w:spacing w:after="240"/>
        <w:jc w:val="center"/>
        <w:rPr>
          <w:color w:val="000000"/>
          <w:spacing w:val="-2"/>
          <w:sz w:val="28"/>
          <w:szCs w:val="28"/>
        </w:rPr>
      </w:pPr>
      <w:r w:rsidRPr="00ED56BB">
        <w:rPr>
          <w:color w:val="000000"/>
          <w:spacing w:val="-2"/>
          <w:sz w:val="28"/>
          <w:szCs w:val="28"/>
        </w:rPr>
        <w:t>At-Risk Capitated Contracts Rate Setting</w:t>
      </w:r>
    </w:p>
    <w:p w14:paraId="5B8209E5" w14:textId="77777777" w:rsidR="00FA3EEE" w:rsidRPr="00ED56BB" w:rsidRDefault="00FA3EEE" w:rsidP="00FA3EEE">
      <w:pPr>
        <w:shd w:val="clear" w:color="auto" w:fill="FFFFFF"/>
        <w:spacing w:after="240"/>
        <w:ind w:right="22"/>
        <w:jc w:val="center"/>
        <w:rPr>
          <w:b/>
          <w:sz w:val="28"/>
          <w:szCs w:val="28"/>
        </w:rPr>
      </w:pPr>
      <w:r w:rsidRPr="00ED56BB">
        <w:rPr>
          <w:b/>
          <w:color w:val="000000"/>
          <w:spacing w:val="-1"/>
          <w:sz w:val="28"/>
          <w:szCs w:val="28"/>
        </w:rPr>
        <w:t>Minnesota Senior</w:t>
      </w:r>
      <w:r w:rsidR="00106930">
        <w:rPr>
          <w:b/>
          <w:color w:val="000000"/>
          <w:spacing w:val="-1"/>
          <w:sz w:val="28"/>
          <w:szCs w:val="28"/>
        </w:rPr>
        <w:t xml:space="preserve"> </w:t>
      </w:r>
      <w:r w:rsidRPr="00ED56BB">
        <w:rPr>
          <w:b/>
          <w:color w:val="000000"/>
          <w:spacing w:val="-1"/>
          <w:sz w:val="28"/>
          <w:szCs w:val="28"/>
        </w:rPr>
        <w:t>Care Plus</w:t>
      </w:r>
      <w:r>
        <w:rPr>
          <w:b/>
          <w:color w:val="000000"/>
          <w:spacing w:val="-1"/>
          <w:sz w:val="28"/>
          <w:szCs w:val="28"/>
        </w:rPr>
        <w:t xml:space="preserve"> </w:t>
      </w:r>
      <w:r w:rsidRPr="009E1EB7">
        <w:rPr>
          <w:color w:val="000000"/>
          <w:spacing w:val="-1"/>
          <w:sz w:val="28"/>
          <w:szCs w:val="28"/>
        </w:rPr>
        <w:t>and</w:t>
      </w:r>
      <w:r>
        <w:rPr>
          <w:b/>
          <w:color w:val="000000"/>
          <w:spacing w:val="-1"/>
          <w:sz w:val="28"/>
          <w:szCs w:val="28"/>
        </w:rPr>
        <w:t xml:space="preserve"> </w:t>
      </w:r>
    </w:p>
    <w:p w14:paraId="26C28430" w14:textId="77777777" w:rsidR="00FA3EEE" w:rsidRPr="00ED56BB" w:rsidRDefault="00FA3EEE" w:rsidP="00FA3EEE">
      <w:pPr>
        <w:shd w:val="clear" w:color="auto" w:fill="FFFFFF"/>
        <w:spacing w:after="240"/>
        <w:ind w:right="14"/>
        <w:jc w:val="center"/>
        <w:rPr>
          <w:b/>
          <w:sz w:val="28"/>
          <w:szCs w:val="28"/>
        </w:rPr>
      </w:pPr>
      <w:r w:rsidRPr="00ED56BB">
        <w:rPr>
          <w:b/>
          <w:color w:val="000000"/>
          <w:spacing w:val="-1"/>
          <w:sz w:val="28"/>
          <w:szCs w:val="28"/>
        </w:rPr>
        <w:t>Minnesota Senior Health Options</w:t>
      </w:r>
    </w:p>
    <w:p w14:paraId="0F55F1CB" w14:textId="59A0429A" w:rsidR="00FA3EEE" w:rsidRPr="00ED56BB" w:rsidRDefault="00FA3EEE" w:rsidP="00FA3EEE">
      <w:pPr>
        <w:shd w:val="clear" w:color="auto" w:fill="FFFFFF"/>
        <w:spacing w:after="240"/>
        <w:ind w:left="1080"/>
        <w:jc w:val="center"/>
        <w:rPr>
          <w:sz w:val="28"/>
          <w:szCs w:val="28"/>
        </w:rPr>
      </w:pPr>
      <w:r w:rsidRPr="00ED56BB">
        <w:rPr>
          <w:color w:val="000000"/>
          <w:sz w:val="28"/>
          <w:szCs w:val="28"/>
        </w:rPr>
        <w:t>Contract Period: January 1, 20</w:t>
      </w:r>
      <w:r w:rsidR="00A13E8B">
        <w:rPr>
          <w:color w:val="000000"/>
          <w:sz w:val="28"/>
          <w:szCs w:val="28"/>
        </w:rPr>
        <w:t>1</w:t>
      </w:r>
      <w:r w:rsidR="00EE1A18">
        <w:rPr>
          <w:color w:val="000000"/>
          <w:sz w:val="28"/>
          <w:szCs w:val="28"/>
        </w:rPr>
        <w:t>5</w:t>
      </w:r>
      <w:r w:rsidRPr="00ED56BB">
        <w:rPr>
          <w:color w:val="000000"/>
          <w:sz w:val="28"/>
          <w:szCs w:val="28"/>
        </w:rPr>
        <w:t xml:space="preserve"> - December 31, 20</w:t>
      </w:r>
      <w:r w:rsidR="00A13E8B">
        <w:rPr>
          <w:color w:val="000000"/>
          <w:sz w:val="28"/>
          <w:szCs w:val="28"/>
        </w:rPr>
        <w:t>1</w:t>
      </w:r>
      <w:r w:rsidR="00EE1A18">
        <w:rPr>
          <w:color w:val="000000"/>
          <w:sz w:val="28"/>
          <w:szCs w:val="28"/>
        </w:rPr>
        <w:t>5</w:t>
      </w:r>
    </w:p>
    <w:p w14:paraId="3C274B90" w14:textId="46E8DB55" w:rsidR="00FA3EEE" w:rsidRPr="00ED56BB" w:rsidRDefault="00FA3EEE" w:rsidP="00FA3EEE">
      <w:pPr>
        <w:shd w:val="clear" w:color="auto" w:fill="FFFFFF"/>
        <w:spacing w:after="240"/>
        <w:ind w:right="14"/>
        <w:jc w:val="center"/>
        <w:rPr>
          <w:color w:val="000000"/>
          <w:spacing w:val="-9"/>
          <w:sz w:val="28"/>
          <w:szCs w:val="28"/>
        </w:rPr>
      </w:pPr>
      <w:r w:rsidRPr="00ED56BB">
        <w:rPr>
          <w:color w:val="000000"/>
          <w:spacing w:val="-9"/>
          <w:sz w:val="28"/>
          <w:szCs w:val="28"/>
        </w:rPr>
        <w:t xml:space="preserve">December </w:t>
      </w:r>
      <w:r w:rsidR="00DE7BA5">
        <w:rPr>
          <w:color w:val="000000"/>
          <w:spacing w:val="-9"/>
          <w:sz w:val="28"/>
          <w:szCs w:val="28"/>
        </w:rPr>
        <w:t>30</w:t>
      </w:r>
      <w:r w:rsidRPr="00C76FFA">
        <w:rPr>
          <w:color w:val="000000"/>
          <w:spacing w:val="-9"/>
          <w:sz w:val="28"/>
          <w:szCs w:val="28"/>
        </w:rPr>
        <w:t>,</w:t>
      </w:r>
      <w:r w:rsidR="00181A8F">
        <w:rPr>
          <w:color w:val="000000"/>
          <w:spacing w:val="-9"/>
          <w:sz w:val="28"/>
          <w:szCs w:val="28"/>
        </w:rPr>
        <w:t xml:space="preserve"> 201</w:t>
      </w:r>
      <w:r w:rsidR="00EE1A18">
        <w:rPr>
          <w:color w:val="000000"/>
          <w:spacing w:val="-9"/>
          <w:sz w:val="28"/>
          <w:szCs w:val="28"/>
        </w:rPr>
        <w:t>4</w:t>
      </w:r>
    </w:p>
    <w:p w14:paraId="56567BC6" w14:textId="77777777" w:rsidR="00FA3EEE" w:rsidRDefault="00FA3EEE" w:rsidP="00FA3EEE">
      <w:pPr>
        <w:shd w:val="clear" w:color="auto" w:fill="FFFFFF"/>
        <w:spacing w:before="691"/>
        <w:ind w:right="14"/>
        <w:sectPr w:rsidR="00FA3EEE" w:rsidSect="00047A55">
          <w:footerReference w:type="even" r:id="rId13"/>
          <w:footerReference w:type="default" r:id="rId14"/>
          <w:pgSz w:w="12240" w:h="15840" w:code="1"/>
          <w:pgMar w:top="1440" w:right="1440" w:bottom="1440" w:left="1440" w:header="720" w:footer="720" w:gutter="0"/>
          <w:cols w:space="60"/>
          <w:noEndnote/>
          <w:titlePg/>
          <w:docGrid w:linePitch="272"/>
        </w:sectPr>
      </w:pPr>
    </w:p>
    <w:p w14:paraId="4ED7464D" w14:textId="77777777" w:rsidR="00FA3EEE" w:rsidRDefault="00FA3EEE" w:rsidP="00FA3EEE">
      <w:pPr>
        <w:shd w:val="clear" w:color="auto" w:fill="FFFFFF"/>
        <w:ind w:left="86"/>
        <w:jc w:val="center"/>
        <w:rPr>
          <w:b/>
          <w:bCs/>
          <w:color w:val="000000"/>
          <w:spacing w:val="-1"/>
          <w:sz w:val="24"/>
          <w:szCs w:val="24"/>
        </w:rPr>
      </w:pPr>
      <w:r>
        <w:rPr>
          <w:b/>
          <w:bCs/>
          <w:color w:val="000000"/>
          <w:spacing w:val="-1"/>
          <w:sz w:val="24"/>
          <w:szCs w:val="24"/>
        </w:rPr>
        <w:lastRenderedPageBreak/>
        <w:t>List of Attachments</w:t>
      </w:r>
    </w:p>
    <w:p w14:paraId="231A36F8" w14:textId="77777777" w:rsidR="00FA3EEE" w:rsidRDefault="00FA3EEE" w:rsidP="00FA3EEE">
      <w:pPr>
        <w:shd w:val="clear" w:color="auto" w:fill="FFFFFF"/>
        <w:ind w:left="86"/>
        <w:jc w:val="center"/>
      </w:pPr>
    </w:p>
    <w:tbl>
      <w:tblPr>
        <w:tblW w:w="0" w:type="auto"/>
        <w:tblInd w:w="108" w:type="dxa"/>
        <w:tblLook w:val="01E0" w:firstRow="1" w:lastRow="1" w:firstColumn="1" w:lastColumn="1" w:noHBand="0" w:noVBand="0"/>
      </w:tblPr>
      <w:tblGrid>
        <w:gridCol w:w="1710"/>
        <w:gridCol w:w="7650"/>
      </w:tblGrid>
      <w:tr w:rsidR="00FA3EEE" w:rsidRPr="000F598A" w14:paraId="105318E2" w14:textId="77777777" w:rsidTr="0017696F">
        <w:tc>
          <w:tcPr>
            <w:tcW w:w="1710" w:type="dxa"/>
            <w:shd w:val="clear" w:color="auto" w:fill="auto"/>
          </w:tcPr>
          <w:p w14:paraId="3FBB7AE5" w14:textId="77991646" w:rsidR="00FA3EEE" w:rsidRPr="00B237B7" w:rsidRDefault="002D3BF0" w:rsidP="00B237B7">
            <w:pPr>
              <w:tabs>
                <w:tab w:val="center" w:pos="4320"/>
                <w:tab w:val="right" w:pos="8640"/>
              </w:tabs>
              <w:spacing w:after="120" w:line="288" w:lineRule="exact"/>
              <w:rPr>
                <w:color w:val="000000"/>
                <w:sz w:val="24"/>
                <w:szCs w:val="24"/>
              </w:rPr>
            </w:pPr>
            <w:r>
              <w:rPr>
                <w:color w:val="000000"/>
                <w:sz w:val="24"/>
                <w:szCs w:val="24"/>
              </w:rPr>
              <w:t xml:space="preserve">Attachment A </w:t>
            </w:r>
          </w:p>
          <w:p w14:paraId="166682E1" w14:textId="77777777" w:rsidR="00FA3EEE" w:rsidRPr="00B237B7" w:rsidRDefault="00FA3EEE" w:rsidP="00B237B7">
            <w:pPr>
              <w:tabs>
                <w:tab w:val="center" w:pos="4320"/>
                <w:tab w:val="right" w:pos="8640"/>
              </w:tabs>
              <w:spacing w:after="120" w:line="288" w:lineRule="exact"/>
              <w:rPr>
                <w:color w:val="000000"/>
                <w:sz w:val="24"/>
                <w:szCs w:val="24"/>
              </w:rPr>
            </w:pPr>
          </w:p>
          <w:p w14:paraId="75B7A37D" w14:textId="77777777" w:rsidR="00FA3EEE" w:rsidRPr="00B237B7" w:rsidRDefault="00FA3EEE" w:rsidP="00B237B7">
            <w:pPr>
              <w:tabs>
                <w:tab w:val="center" w:pos="4320"/>
                <w:tab w:val="right" w:pos="8640"/>
              </w:tabs>
              <w:spacing w:after="120" w:line="288" w:lineRule="exact"/>
              <w:rPr>
                <w:color w:val="000000"/>
                <w:sz w:val="24"/>
                <w:szCs w:val="24"/>
              </w:rPr>
            </w:pPr>
          </w:p>
        </w:tc>
        <w:tc>
          <w:tcPr>
            <w:tcW w:w="7650" w:type="dxa"/>
            <w:shd w:val="clear" w:color="auto" w:fill="auto"/>
          </w:tcPr>
          <w:p w14:paraId="2107E3A1" w14:textId="550A16D1" w:rsidR="00FA3EEE" w:rsidRPr="006C4C7C" w:rsidRDefault="00FA3EEE" w:rsidP="00B237B7">
            <w:pPr>
              <w:tabs>
                <w:tab w:val="center" w:pos="4320"/>
                <w:tab w:val="right" w:pos="8640"/>
              </w:tabs>
              <w:spacing w:after="120" w:line="288" w:lineRule="exact"/>
              <w:rPr>
                <w:color w:val="000000"/>
                <w:sz w:val="24"/>
                <w:szCs w:val="24"/>
              </w:rPr>
            </w:pPr>
            <w:r w:rsidRPr="006C4C7C">
              <w:rPr>
                <w:color w:val="000000"/>
                <w:sz w:val="24"/>
                <w:szCs w:val="24"/>
              </w:rPr>
              <w:t>Actuarial memo</w:t>
            </w:r>
            <w:r w:rsidR="007F57DA" w:rsidRPr="006C4C7C">
              <w:rPr>
                <w:color w:val="000000"/>
                <w:sz w:val="24"/>
                <w:szCs w:val="24"/>
              </w:rPr>
              <w:t>:</w:t>
            </w:r>
            <w:r w:rsidRPr="006C4C7C">
              <w:rPr>
                <w:color w:val="000000"/>
                <w:sz w:val="24"/>
                <w:szCs w:val="24"/>
              </w:rPr>
              <w:t xml:space="preserve"> “</w:t>
            </w:r>
            <w:r w:rsidR="00946616" w:rsidRPr="006C4C7C">
              <w:rPr>
                <w:color w:val="000000"/>
                <w:sz w:val="24"/>
                <w:szCs w:val="24"/>
              </w:rPr>
              <w:t>Rate Development of CY 201</w:t>
            </w:r>
            <w:r w:rsidR="00795525">
              <w:rPr>
                <w:color w:val="000000"/>
                <w:sz w:val="24"/>
                <w:szCs w:val="24"/>
              </w:rPr>
              <w:t>5</w:t>
            </w:r>
            <w:r w:rsidR="00946616" w:rsidRPr="006C4C7C">
              <w:rPr>
                <w:color w:val="000000"/>
                <w:sz w:val="24"/>
                <w:szCs w:val="24"/>
              </w:rPr>
              <w:t xml:space="preserve"> Basic Care, EW, and NF Add-on for MSHO and MSC+</w:t>
            </w:r>
            <w:r w:rsidRPr="006C4C7C">
              <w:rPr>
                <w:color w:val="000000"/>
                <w:sz w:val="24"/>
                <w:szCs w:val="24"/>
              </w:rPr>
              <w:t xml:space="preserve">” </w:t>
            </w:r>
            <w:r w:rsidR="00043774">
              <w:rPr>
                <w:color w:val="000000"/>
                <w:sz w:val="24"/>
                <w:szCs w:val="24"/>
              </w:rPr>
              <w:t>November 10, 2014</w:t>
            </w:r>
            <w:r w:rsidR="004D4FA3" w:rsidRPr="006C4C7C">
              <w:rPr>
                <w:color w:val="000000"/>
                <w:sz w:val="24"/>
                <w:szCs w:val="24"/>
              </w:rPr>
              <w:t>.</w:t>
            </w:r>
          </w:p>
          <w:p w14:paraId="46B45CA6" w14:textId="4C8CB167" w:rsidR="00FA3EEE" w:rsidRPr="006C4C7C" w:rsidRDefault="00FA3EEE" w:rsidP="00EE1A18">
            <w:pPr>
              <w:tabs>
                <w:tab w:val="center" w:pos="4320"/>
                <w:tab w:val="right" w:pos="8640"/>
              </w:tabs>
              <w:spacing w:after="120" w:line="288" w:lineRule="exact"/>
              <w:rPr>
                <w:rFonts w:ascii="Arial Narrow" w:hAnsi="Arial Narrow"/>
                <w:color w:val="000000"/>
                <w:sz w:val="24"/>
                <w:szCs w:val="24"/>
              </w:rPr>
            </w:pPr>
            <w:r w:rsidRPr="006C4C7C">
              <w:rPr>
                <w:color w:val="000000"/>
                <w:sz w:val="24"/>
                <w:szCs w:val="24"/>
              </w:rPr>
              <w:t xml:space="preserve">Filename: </w:t>
            </w:r>
            <w:bookmarkStart w:id="0" w:name="_GoBack"/>
            <w:r w:rsidRPr="006C4C7C">
              <w:rPr>
                <w:color w:val="000000"/>
                <w:sz w:val="24"/>
                <w:szCs w:val="24"/>
              </w:rPr>
              <w:t xml:space="preserve"> </w:t>
            </w:r>
            <w:r w:rsidR="00043774" w:rsidRPr="00E21725">
              <w:rPr>
                <w:rFonts w:ascii="Arial Narrow" w:hAnsi="Arial Narrow"/>
                <w:color w:val="000000"/>
                <w:sz w:val="24"/>
                <w:szCs w:val="24"/>
              </w:rPr>
              <w:t>2015_MSHO_MSC</w:t>
            </w:r>
            <w:bookmarkEnd w:id="0"/>
            <w:r w:rsidR="00043774" w:rsidRPr="00E21725">
              <w:rPr>
                <w:rFonts w:ascii="Arial Narrow" w:hAnsi="Arial Narrow"/>
                <w:color w:val="000000"/>
                <w:sz w:val="24"/>
                <w:szCs w:val="24"/>
              </w:rPr>
              <w:t>+_Rate_Memo_2014-11-10</w:t>
            </w:r>
            <w:r w:rsidR="007103EB" w:rsidRPr="00E21725">
              <w:rPr>
                <w:rFonts w:ascii="Arial Narrow" w:hAnsi="Arial Narrow"/>
                <w:color w:val="000000"/>
                <w:sz w:val="24"/>
                <w:szCs w:val="24"/>
              </w:rPr>
              <w:t>.pdf</w:t>
            </w:r>
          </w:p>
        </w:tc>
      </w:tr>
      <w:tr w:rsidR="00FA3EEE" w:rsidRPr="000F598A" w14:paraId="75167769" w14:textId="77777777" w:rsidTr="0017696F">
        <w:tc>
          <w:tcPr>
            <w:tcW w:w="1710" w:type="dxa"/>
            <w:shd w:val="clear" w:color="auto" w:fill="auto"/>
          </w:tcPr>
          <w:p w14:paraId="5EEE6201" w14:textId="01807B60" w:rsidR="00FA3EEE" w:rsidRPr="00B237B7" w:rsidRDefault="002D3BF0" w:rsidP="00B237B7">
            <w:pPr>
              <w:tabs>
                <w:tab w:val="center" w:pos="4320"/>
                <w:tab w:val="right" w:pos="8640"/>
              </w:tabs>
              <w:spacing w:after="120" w:line="281" w:lineRule="exact"/>
              <w:rPr>
                <w:color w:val="000000"/>
                <w:sz w:val="24"/>
                <w:szCs w:val="24"/>
              </w:rPr>
            </w:pPr>
            <w:r>
              <w:rPr>
                <w:color w:val="000000"/>
                <w:sz w:val="24"/>
                <w:szCs w:val="24"/>
              </w:rPr>
              <w:t xml:space="preserve">Attachment B </w:t>
            </w:r>
          </w:p>
          <w:p w14:paraId="7A329A46" w14:textId="77777777" w:rsidR="00FA3EEE" w:rsidRPr="00B237B7" w:rsidRDefault="00FA3EEE" w:rsidP="00B237B7">
            <w:pPr>
              <w:tabs>
                <w:tab w:val="center" w:pos="4320"/>
                <w:tab w:val="right" w:pos="8640"/>
              </w:tabs>
              <w:spacing w:after="120" w:line="281" w:lineRule="exact"/>
              <w:rPr>
                <w:color w:val="000000"/>
                <w:sz w:val="24"/>
                <w:szCs w:val="24"/>
              </w:rPr>
            </w:pPr>
          </w:p>
          <w:p w14:paraId="02556E70" w14:textId="77777777" w:rsidR="00FA3EEE" w:rsidRPr="00B237B7" w:rsidRDefault="00FA3EEE" w:rsidP="00B237B7">
            <w:pPr>
              <w:tabs>
                <w:tab w:val="center" w:pos="4320"/>
                <w:tab w:val="right" w:pos="8640"/>
              </w:tabs>
              <w:rPr>
                <w:sz w:val="24"/>
                <w:szCs w:val="24"/>
              </w:rPr>
            </w:pPr>
          </w:p>
        </w:tc>
        <w:tc>
          <w:tcPr>
            <w:tcW w:w="7650" w:type="dxa"/>
            <w:shd w:val="clear" w:color="auto" w:fill="auto"/>
          </w:tcPr>
          <w:p w14:paraId="227A6DAB" w14:textId="1DA4AC99" w:rsidR="00E6789F" w:rsidRPr="008B2118" w:rsidRDefault="007F57DA" w:rsidP="00E6789F">
            <w:pPr>
              <w:shd w:val="clear" w:color="auto" w:fill="FFFFFF"/>
              <w:tabs>
                <w:tab w:val="center" w:pos="4320"/>
                <w:tab w:val="right" w:pos="8640"/>
              </w:tabs>
              <w:spacing w:after="120" w:line="288" w:lineRule="exact"/>
              <w:rPr>
                <w:sz w:val="24"/>
                <w:szCs w:val="24"/>
              </w:rPr>
            </w:pPr>
            <w:r w:rsidRPr="00D673DE">
              <w:rPr>
                <w:spacing w:val="-1"/>
                <w:sz w:val="24"/>
                <w:szCs w:val="24"/>
              </w:rPr>
              <w:t>Actuarial Certification</w:t>
            </w:r>
            <w:r w:rsidR="004D4FA3" w:rsidRPr="00D673DE">
              <w:rPr>
                <w:spacing w:val="-1"/>
                <w:sz w:val="24"/>
                <w:szCs w:val="24"/>
              </w:rPr>
              <w:t xml:space="preserve"> for</w:t>
            </w:r>
            <w:r w:rsidRPr="00D673DE">
              <w:rPr>
                <w:sz w:val="24"/>
                <w:szCs w:val="24"/>
              </w:rPr>
              <w:t xml:space="preserve"> Minnesota Senior Health Options</w:t>
            </w:r>
            <w:r w:rsidR="004D4FA3" w:rsidRPr="00D673DE">
              <w:rPr>
                <w:sz w:val="24"/>
                <w:szCs w:val="24"/>
              </w:rPr>
              <w:t xml:space="preserve"> / Minneso</w:t>
            </w:r>
            <w:r w:rsidR="00847698" w:rsidRPr="00D673DE">
              <w:rPr>
                <w:sz w:val="24"/>
                <w:szCs w:val="24"/>
              </w:rPr>
              <w:t>ta Senior Care Pl</w:t>
            </w:r>
            <w:r w:rsidR="00D91169" w:rsidRPr="004C73B0">
              <w:rPr>
                <w:sz w:val="24"/>
                <w:szCs w:val="24"/>
              </w:rPr>
              <w:t xml:space="preserve">us, December </w:t>
            </w:r>
            <w:r w:rsidR="004C73B0" w:rsidRPr="004C73B0">
              <w:rPr>
                <w:sz w:val="24"/>
                <w:szCs w:val="24"/>
              </w:rPr>
              <w:t>17</w:t>
            </w:r>
            <w:r w:rsidR="00847698" w:rsidRPr="004C73B0">
              <w:rPr>
                <w:sz w:val="24"/>
                <w:szCs w:val="24"/>
              </w:rPr>
              <w:t>, 201</w:t>
            </w:r>
            <w:r w:rsidR="004C73B0" w:rsidRPr="004C73B0">
              <w:rPr>
                <w:sz w:val="24"/>
                <w:szCs w:val="24"/>
              </w:rPr>
              <w:t>4</w:t>
            </w:r>
            <w:r w:rsidR="004D4FA3" w:rsidRPr="004C73B0">
              <w:rPr>
                <w:sz w:val="24"/>
                <w:szCs w:val="24"/>
              </w:rPr>
              <w:t>.</w:t>
            </w:r>
          </w:p>
          <w:p w14:paraId="4DCE0EB1" w14:textId="5A1567C1" w:rsidR="00FA3EEE" w:rsidRPr="00D673DE" w:rsidRDefault="007F57DA" w:rsidP="004C73B0">
            <w:pPr>
              <w:tabs>
                <w:tab w:val="center" w:pos="4320"/>
                <w:tab w:val="right" w:pos="8640"/>
              </w:tabs>
              <w:spacing w:after="240" w:line="281" w:lineRule="exact"/>
              <w:rPr>
                <w:color w:val="000000"/>
                <w:sz w:val="24"/>
                <w:szCs w:val="24"/>
              </w:rPr>
            </w:pPr>
            <w:r w:rsidRPr="008B2118">
              <w:rPr>
                <w:sz w:val="24"/>
                <w:szCs w:val="24"/>
              </w:rPr>
              <w:t xml:space="preserve">Filename: </w:t>
            </w:r>
            <w:r w:rsidR="00D91169" w:rsidRPr="00047A55">
              <w:rPr>
                <w:rFonts w:ascii="Arial Narrow" w:hAnsi="Arial Narrow"/>
                <w:sz w:val="24"/>
                <w:szCs w:val="24"/>
              </w:rPr>
              <w:t>MSHO-MSC+_</w:t>
            </w:r>
            <w:r w:rsidR="004C73B0" w:rsidRPr="00047A55">
              <w:rPr>
                <w:rFonts w:ascii="Arial Narrow" w:hAnsi="Arial Narrow"/>
                <w:sz w:val="24"/>
                <w:szCs w:val="24"/>
              </w:rPr>
              <w:t>Act_Cert_2015_Rates_</w:t>
            </w:r>
            <w:r w:rsidR="00D91169" w:rsidRPr="00047A55">
              <w:rPr>
                <w:rFonts w:ascii="Arial Narrow" w:hAnsi="Arial Narrow"/>
                <w:sz w:val="24"/>
                <w:szCs w:val="24"/>
              </w:rPr>
              <w:t>201</w:t>
            </w:r>
            <w:r w:rsidR="00EE1A18" w:rsidRPr="00047A55">
              <w:rPr>
                <w:rFonts w:ascii="Arial Narrow" w:hAnsi="Arial Narrow"/>
                <w:sz w:val="24"/>
                <w:szCs w:val="24"/>
              </w:rPr>
              <w:t>4</w:t>
            </w:r>
            <w:r w:rsidR="00D91169" w:rsidRPr="00047A55">
              <w:rPr>
                <w:rFonts w:ascii="Arial Narrow" w:hAnsi="Arial Narrow"/>
                <w:sz w:val="24"/>
                <w:szCs w:val="24"/>
              </w:rPr>
              <w:t>-12-</w:t>
            </w:r>
            <w:r w:rsidR="004C73B0" w:rsidRPr="00047A55">
              <w:rPr>
                <w:rFonts w:ascii="Arial Narrow" w:hAnsi="Arial Narrow"/>
                <w:sz w:val="24"/>
                <w:szCs w:val="24"/>
              </w:rPr>
              <w:t>17</w:t>
            </w:r>
            <w:r w:rsidR="00D17339" w:rsidRPr="00047A55">
              <w:rPr>
                <w:rFonts w:ascii="Arial Narrow" w:hAnsi="Arial Narrow"/>
                <w:sz w:val="24"/>
                <w:szCs w:val="24"/>
              </w:rPr>
              <w:t>.pdf</w:t>
            </w:r>
            <w:r w:rsidR="00E6789F" w:rsidRPr="00047A55">
              <w:rPr>
                <w:rFonts w:ascii="Arial Narrow" w:hAnsi="Arial Narrow"/>
                <w:color w:val="000000"/>
                <w:sz w:val="24"/>
                <w:szCs w:val="24"/>
              </w:rPr>
              <w:t xml:space="preserve"> </w:t>
            </w:r>
          </w:p>
        </w:tc>
      </w:tr>
      <w:tr w:rsidR="00FA3EEE" w:rsidRPr="000F598A" w14:paraId="5BA216D6" w14:textId="77777777" w:rsidTr="0017696F">
        <w:tc>
          <w:tcPr>
            <w:tcW w:w="1710" w:type="dxa"/>
            <w:shd w:val="clear" w:color="auto" w:fill="auto"/>
          </w:tcPr>
          <w:p w14:paraId="79EFF28C" w14:textId="790B646E" w:rsidR="00FA3EEE" w:rsidRPr="00B237B7" w:rsidRDefault="002D3BF0" w:rsidP="00B237B7">
            <w:pPr>
              <w:tabs>
                <w:tab w:val="center" w:pos="4320"/>
                <w:tab w:val="right" w:pos="8640"/>
              </w:tabs>
              <w:spacing w:after="120" w:line="281" w:lineRule="exact"/>
              <w:rPr>
                <w:color w:val="000000"/>
                <w:sz w:val="24"/>
                <w:szCs w:val="24"/>
              </w:rPr>
            </w:pPr>
            <w:r>
              <w:rPr>
                <w:color w:val="000000"/>
                <w:sz w:val="24"/>
                <w:szCs w:val="24"/>
              </w:rPr>
              <w:t xml:space="preserve">Attachment C </w:t>
            </w:r>
          </w:p>
          <w:p w14:paraId="0538EB5C" w14:textId="77777777" w:rsidR="00FA3EEE" w:rsidRPr="00B237B7" w:rsidRDefault="00FA3EEE" w:rsidP="00B237B7">
            <w:pPr>
              <w:tabs>
                <w:tab w:val="center" w:pos="4320"/>
                <w:tab w:val="right" w:pos="8640"/>
              </w:tabs>
              <w:spacing w:after="120" w:line="281" w:lineRule="exact"/>
              <w:rPr>
                <w:color w:val="000000"/>
                <w:sz w:val="24"/>
                <w:szCs w:val="24"/>
              </w:rPr>
            </w:pPr>
          </w:p>
          <w:p w14:paraId="73A9DDB1" w14:textId="77777777" w:rsidR="00FA3EEE" w:rsidRPr="00B237B7" w:rsidRDefault="00FA3EEE" w:rsidP="00B237B7">
            <w:pPr>
              <w:tabs>
                <w:tab w:val="center" w:pos="4320"/>
                <w:tab w:val="right" w:pos="8640"/>
              </w:tabs>
              <w:spacing w:after="120" w:line="281" w:lineRule="exact"/>
              <w:rPr>
                <w:color w:val="000000"/>
                <w:sz w:val="24"/>
                <w:szCs w:val="24"/>
              </w:rPr>
            </w:pPr>
          </w:p>
        </w:tc>
        <w:tc>
          <w:tcPr>
            <w:tcW w:w="7650" w:type="dxa"/>
            <w:shd w:val="clear" w:color="auto" w:fill="auto"/>
          </w:tcPr>
          <w:p w14:paraId="56AAD51F" w14:textId="5DB2F20E" w:rsidR="00946616" w:rsidRPr="00D673DE" w:rsidRDefault="00AA0BD1" w:rsidP="00946616">
            <w:pPr>
              <w:shd w:val="clear" w:color="auto" w:fill="FFFFFF"/>
              <w:tabs>
                <w:tab w:val="center" w:pos="4320"/>
                <w:tab w:val="right" w:pos="8640"/>
              </w:tabs>
              <w:spacing w:after="120" w:line="288" w:lineRule="exact"/>
              <w:rPr>
                <w:color w:val="000000"/>
                <w:sz w:val="24"/>
                <w:szCs w:val="24"/>
              </w:rPr>
            </w:pPr>
            <w:r w:rsidRPr="00AA0BD1">
              <w:rPr>
                <w:color w:val="000000"/>
                <w:spacing w:val="-1"/>
                <w:sz w:val="24"/>
                <w:szCs w:val="24"/>
              </w:rPr>
              <w:t>Comparison of Monthly MSHO and MSC+ Expenditures Using 201</w:t>
            </w:r>
            <w:r w:rsidR="00EE1A18">
              <w:rPr>
                <w:color w:val="000000"/>
                <w:spacing w:val="-1"/>
                <w:sz w:val="24"/>
                <w:szCs w:val="24"/>
              </w:rPr>
              <w:t>5</w:t>
            </w:r>
            <w:r w:rsidRPr="00AA0BD1">
              <w:rPr>
                <w:color w:val="000000"/>
                <w:spacing w:val="-1"/>
                <w:sz w:val="24"/>
                <w:szCs w:val="24"/>
              </w:rPr>
              <w:t xml:space="preserve"> Rates</w:t>
            </w:r>
            <w:r w:rsidR="00946616" w:rsidRPr="00D673DE">
              <w:rPr>
                <w:color w:val="000000"/>
                <w:sz w:val="24"/>
                <w:szCs w:val="24"/>
              </w:rPr>
              <w:t>.</w:t>
            </w:r>
          </w:p>
          <w:p w14:paraId="60DB6442" w14:textId="5666C42B" w:rsidR="00FA3EEE" w:rsidRPr="00D673DE" w:rsidRDefault="00946616" w:rsidP="00795525">
            <w:pPr>
              <w:tabs>
                <w:tab w:val="center" w:pos="4320"/>
                <w:tab w:val="right" w:pos="8640"/>
              </w:tabs>
              <w:spacing w:after="120" w:line="281" w:lineRule="exact"/>
              <w:rPr>
                <w:color w:val="000000"/>
                <w:sz w:val="24"/>
                <w:szCs w:val="24"/>
              </w:rPr>
            </w:pPr>
            <w:r w:rsidRPr="00D673DE">
              <w:rPr>
                <w:color w:val="000000"/>
                <w:sz w:val="24"/>
                <w:szCs w:val="24"/>
              </w:rPr>
              <w:t xml:space="preserve">Filename: </w:t>
            </w:r>
            <w:r w:rsidRPr="00E21725">
              <w:rPr>
                <w:rFonts w:ascii="Arial Narrow" w:hAnsi="Arial Narrow"/>
                <w:color w:val="000000"/>
                <w:sz w:val="24"/>
                <w:szCs w:val="24"/>
              </w:rPr>
              <w:t>201</w:t>
            </w:r>
            <w:r w:rsidR="00E03D68" w:rsidRPr="00E21725">
              <w:rPr>
                <w:rFonts w:ascii="Arial Narrow" w:hAnsi="Arial Narrow"/>
                <w:color w:val="000000"/>
                <w:sz w:val="24"/>
                <w:szCs w:val="24"/>
              </w:rPr>
              <w:t>4</w:t>
            </w:r>
            <w:r w:rsidR="00EE1A18" w:rsidRPr="00E21725">
              <w:rPr>
                <w:rFonts w:ascii="Arial Narrow" w:hAnsi="Arial Narrow"/>
                <w:color w:val="000000"/>
                <w:sz w:val="24"/>
                <w:szCs w:val="24"/>
              </w:rPr>
              <w:t>-15</w:t>
            </w:r>
            <w:r w:rsidRPr="00E21725">
              <w:rPr>
                <w:rFonts w:ascii="Arial Narrow" w:hAnsi="Arial Narrow"/>
                <w:color w:val="000000"/>
                <w:sz w:val="24"/>
                <w:szCs w:val="24"/>
              </w:rPr>
              <w:t>_Seniors_</w:t>
            </w:r>
            <w:r w:rsidR="00DC31DC" w:rsidRPr="00E21725">
              <w:rPr>
                <w:rFonts w:ascii="Arial Narrow" w:hAnsi="Arial Narrow"/>
                <w:color w:val="000000"/>
                <w:sz w:val="24"/>
                <w:szCs w:val="24"/>
              </w:rPr>
              <w:t>Rates</w:t>
            </w:r>
            <w:r w:rsidRPr="00E21725">
              <w:rPr>
                <w:rFonts w:ascii="Arial Narrow" w:hAnsi="Arial Narrow"/>
                <w:color w:val="000000"/>
                <w:sz w:val="24"/>
                <w:szCs w:val="24"/>
              </w:rPr>
              <w:t>_Compare</w:t>
            </w:r>
            <w:r w:rsidR="00DC31DC" w:rsidRPr="00E21725">
              <w:rPr>
                <w:rFonts w:ascii="Arial Narrow" w:hAnsi="Arial Narrow"/>
                <w:color w:val="000000"/>
                <w:sz w:val="24"/>
                <w:szCs w:val="24"/>
              </w:rPr>
              <w:t>_201</w:t>
            </w:r>
            <w:r w:rsidR="00EE1A18" w:rsidRPr="00E21725">
              <w:rPr>
                <w:rFonts w:ascii="Arial Narrow" w:hAnsi="Arial Narrow"/>
                <w:color w:val="000000"/>
                <w:sz w:val="24"/>
                <w:szCs w:val="24"/>
              </w:rPr>
              <w:t>4</w:t>
            </w:r>
            <w:r w:rsidR="00DC31DC" w:rsidRPr="00E21725">
              <w:rPr>
                <w:rFonts w:ascii="Arial Narrow" w:hAnsi="Arial Narrow"/>
                <w:color w:val="000000"/>
                <w:sz w:val="24"/>
                <w:szCs w:val="24"/>
              </w:rPr>
              <w:t>-12-</w:t>
            </w:r>
            <w:r w:rsidR="00795525" w:rsidRPr="00E21725">
              <w:rPr>
                <w:rFonts w:ascii="Arial Narrow" w:hAnsi="Arial Narrow"/>
                <w:color w:val="000000"/>
                <w:sz w:val="24"/>
                <w:szCs w:val="24"/>
              </w:rPr>
              <w:t>19.</w:t>
            </w:r>
            <w:r w:rsidRPr="00E21725">
              <w:rPr>
                <w:rFonts w:ascii="Arial Narrow" w:hAnsi="Arial Narrow"/>
                <w:sz w:val="24"/>
                <w:szCs w:val="24"/>
              </w:rPr>
              <w:t>pdf</w:t>
            </w:r>
            <w:r w:rsidRPr="00D673DE" w:rsidDel="00946616">
              <w:rPr>
                <w:color w:val="000000"/>
                <w:sz w:val="24"/>
                <w:szCs w:val="24"/>
              </w:rPr>
              <w:t xml:space="preserve"> </w:t>
            </w:r>
          </w:p>
        </w:tc>
      </w:tr>
      <w:tr w:rsidR="00FA3EEE" w:rsidRPr="000F598A" w:rsidDel="00EC518E" w14:paraId="167EDA45" w14:textId="77777777" w:rsidTr="0017696F">
        <w:tc>
          <w:tcPr>
            <w:tcW w:w="1710" w:type="dxa"/>
            <w:shd w:val="clear" w:color="auto" w:fill="auto"/>
          </w:tcPr>
          <w:p w14:paraId="7452E7EE" w14:textId="77777777" w:rsidR="00FA3EEE" w:rsidRPr="00B237B7" w:rsidRDefault="00FA3EEE" w:rsidP="00B237B7">
            <w:pPr>
              <w:tabs>
                <w:tab w:val="center" w:pos="4320"/>
                <w:tab w:val="right" w:pos="8640"/>
              </w:tabs>
              <w:rPr>
                <w:sz w:val="24"/>
                <w:szCs w:val="24"/>
              </w:rPr>
            </w:pPr>
          </w:p>
        </w:tc>
        <w:tc>
          <w:tcPr>
            <w:tcW w:w="7650" w:type="dxa"/>
            <w:shd w:val="clear" w:color="auto" w:fill="auto"/>
          </w:tcPr>
          <w:p w14:paraId="2B988DA6" w14:textId="77777777" w:rsidR="00FA3EEE" w:rsidRPr="00DD289F" w:rsidDel="00EC518E" w:rsidRDefault="00FA3EEE" w:rsidP="0062270A">
            <w:pPr>
              <w:shd w:val="clear" w:color="auto" w:fill="FFFFFF"/>
              <w:tabs>
                <w:tab w:val="center" w:pos="4320"/>
                <w:tab w:val="right" w:pos="8640"/>
              </w:tabs>
              <w:spacing w:after="120" w:line="288" w:lineRule="exact"/>
              <w:rPr>
                <w:sz w:val="24"/>
                <w:szCs w:val="24"/>
              </w:rPr>
            </w:pPr>
          </w:p>
        </w:tc>
      </w:tr>
      <w:tr w:rsidR="00FA3EEE" w:rsidRPr="000F598A" w:rsidDel="00EC518E" w14:paraId="5123E001" w14:textId="77777777" w:rsidTr="0017696F">
        <w:tc>
          <w:tcPr>
            <w:tcW w:w="1710" w:type="dxa"/>
            <w:shd w:val="clear" w:color="auto" w:fill="auto"/>
          </w:tcPr>
          <w:p w14:paraId="1B884F0D" w14:textId="77777777" w:rsidR="00FA3EEE" w:rsidRPr="00B237B7" w:rsidRDefault="00FA3EEE" w:rsidP="00B237B7">
            <w:pPr>
              <w:tabs>
                <w:tab w:val="center" w:pos="4320"/>
                <w:tab w:val="right" w:pos="8640"/>
              </w:tabs>
              <w:spacing w:after="120" w:line="281" w:lineRule="exact"/>
              <w:rPr>
                <w:color w:val="000000"/>
                <w:spacing w:val="-1"/>
                <w:sz w:val="24"/>
                <w:szCs w:val="24"/>
              </w:rPr>
            </w:pPr>
          </w:p>
        </w:tc>
        <w:tc>
          <w:tcPr>
            <w:tcW w:w="7650" w:type="dxa"/>
            <w:shd w:val="clear" w:color="auto" w:fill="auto"/>
          </w:tcPr>
          <w:p w14:paraId="574D7239" w14:textId="77777777" w:rsidR="00FA3EEE" w:rsidRPr="0017696F" w:rsidRDefault="00FA3EEE" w:rsidP="006B1FCB">
            <w:pPr>
              <w:shd w:val="clear" w:color="auto" w:fill="FFFFFF"/>
              <w:tabs>
                <w:tab w:val="center" w:pos="4320"/>
                <w:tab w:val="right" w:pos="8640"/>
              </w:tabs>
              <w:spacing w:after="120" w:line="288" w:lineRule="exact"/>
              <w:rPr>
                <w:rFonts w:ascii="Arial Narrow" w:hAnsi="Arial Narrow"/>
                <w:sz w:val="24"/>
                <w:szCs w:val="24"/>
              </w:rPr>
            </w:pPr>
          </w:p>
        </w:tc>
      </w:tr>
    </w:tbl>
    <w:p w14:paraId="68556465" w14:textId="77777777" w:rsidR="00FA3EEE" w:rsidRDefault="00FA3EEE" w:rsidP="00FA3EEE">
      <w:pPr>
        <w:shd w:val="clear" w:color="auto" w:fill="FFFFFF"/>
        <w:spacing w:before="3326"/>
        <w:ind w:left="137"/>
        <w:jc w:val="center"/>
        <w:sectPr w:rsidR="00FA3EEE" w:rsidSect="00047A55">
          <w:type w:val="nextColumn"/>
          <w:pgSz w:w="12240" w:h="15840" w:code="1"/>
          <w:pgMar w:top="1440" w:right="1440" w:bottom="1440" w:left="1440" w:header="720" w:footer="720" w:gutter="0"/>
          <w:cols w:space="60"/>
          <w:noEndnote/>
          <w:docGrid w:linePitch="272"/>
        </w:sectPr>
      </w:pPr>
    </w:p>
    <w:tbl>
      <w:tblPr>
        <w:tblW w:w="9875" w:type="dxa"/>
        <w:tblInd w:w="14" w:type="dxa"/>
        <w:tblLook w:val="01E0" w:firstRow="1" w:lastRow="1" w:firstColumn="1" w:lastColumn="1" w:noHBand="0" w:noVBand="0"/>
      </w:tblPr>
      <w:tblGrid>
        <w:gridCol w:w="2236"/>
        <w:gridCol w:w="7639"/>
      </w:tblGrid>
      <w:tr w:rsidR="00FA3EEE" w:rsidRPr="00F0771E" w14:paraId="068E47F9" w14:textId="77777777" w:rsidTr="00B237B7">
        <w:tc>
          <w:tcPr>
            <w:tcW w:w="2236" w:type="dxa"/>
            <w:shd w:val="clear" w:color="auto" w:fill="auto"/>
          </w:tcPr>
          <w:p w14:paraId="2EF97552" w14:textId="77777777" w:rsidR="00FA3EEE" w:rsidRPr="00B237B7" w:rsidRDefault="00FA3EEE" w:rsidP="004D4FA3">
            <w:pPr>
              <w:tabs>
                <w:tab w:val="center" w:pos="4320"/>
                <w:tab w:val="right" w:pos="8640"/>
              </w:tabs>
              <w:spacing w:after="240" w:line="281" w:lineRule="exact"/>
              <w:rPr>
                <w:b/>
                <w:bCs/>
                <w:color w:val="000000"/>
                <w:sz w:val="24"/>
                <w:szCs w:val="24"/>
              </w:rPr>
            </w:pPr>
            <w:r w:rsidRPr="00B237B7">
              <w:rPr>
                <w:b/>
                <w:bCs/>
                <w:color w:val="000000"/>
                <w:sz w:val="24"/>
                <w:szCs w:val="24"/>
              </w:rPr>
              <w:lastRenderedPageBreak/>
              <w:t xml:space="preserve">State: </w:t>
            </w:r>
          </w:p>
        </w:tc>
        <w:tc>
          <w:tcPr>
            <w:tcW w:w="7639" w:type="dxa"/>
            <w:shd w:val="clear" w:color="auto" w:fill="auto"/>
          </w:tcPr>
          <w:p w14:paraId="3316A395" w14:textId="77777777" w:rsidR="00FA3EEE" w:rsidRPr="00F0771E" w:rsidRDefault="00FA3EEE" w:rsidP="004D4FA3">
            <w:pPr>
              <w:tabs>
                <w:tab w:val="center" w:pos="4320"/>
                <w:tab w:val="right" w:pos="8640"/>
              </w:tabs>
              <w:spacing w:after="240" w:line="281" w:lineRule="exact"/>
            </w:pPr>
            <w:r w:rsidRPr="00B237B7">
              <w:rPr>
                <w:color w:val="000000"/>
                <w:sz w:val="24"/>
                <w:szCs w:val="24"/>
              </w:rPr>
              <w:t>Minnesota</w:t>
            </w:r>
          </w:p>
        </w:tc>
      </w:tr>
      <w:tr w:rsidR="00FA3EEE" w:rsidRPr="00F0771E" w14:paraId="1B0EF15E" w14:textId="77777777" w:rsidTr="00B237B7">
        <w:tc>
          <w:tcPr>
            <w:tcW w:w="2236" w:type="dxa"/>
            <w:shd w:val="clear" w:color="auto" w:fill="auto"/>
          </w:tcPr>
          <w:p w14:paraId="1B6BE1D1" w14:textId="77777777" w:rsidR="00FA3EEE" w:rsidRPr="00B237B7" w:rsidRDefault="00FA3EEE" w:rsidP="004D4FA3">
            <w:pPr>
              <w:tabs>
                <w:tab w:val="center" w:pos="4320"/>
                <w:tab w:val="right" w:pos="8640"/>
              </w:tabs>
              <w:spacing w:after="240" w:line="281" w:lineRule="exact"/>
              <w:rPr>
                <w:b/>
                <w:bCs/>
                <w:color w:val="000000"/>
                <w:sz w:val="24"/>
                <w:szCs w:val="24"/>
              </w:rPr>
            </w:pPr>
            <w:r w:rsidRPr="00B237B7">
              <w:rPr>
                <w:b/>
                <w:bCs/>
                <w:color w:val="000000"/>
                <w:sz w:val="24"/>
                <w:szCs w:val="24"/>
              </w:rPr>
              <w:t xml:space="preserve">Type of Program: </w:t>
            </w:r>
          </w:p>
        </w:tc>
        <w:tc>
          <w:tcPr>
            <w:tcW w:w="7639" w:type="dxa"/>
            <w:shd w:val="clear" w:color="auto" w:fill="auto"/>
          </w:tcPr>
          <w:p w14:paraId="14C2D7E9" w14:textId="77777777" w:rsidR="00FA3EEE" w:rsidRPr="00B237B7" w:rsidRDefault="00FA3EEE" w:rsidP="004D4FA3">
            <w:pPr>
              <w:tabs>
                <w:tab w:val="center" w:pos="4320"/>
                <w:tab w:val="right" w:pos="8640"/>
              </w:tabs>
              <w:spacing w:after="240" w:line="281" w:lineRule="exact"/>
              <w:rPr>
                <w:color w:val="000000"/>
                <w:spacing w:val="-1"/>
                <w:sz w:val="24"/>
                <w:szCs w:val="24"/>
              </w:rPr>
            </w:pPr>
            <w:r w:rsidRPr="00B237B7">
              <w:rPr>
                <w:bCs/>
                <w:color w:val="000000"/>
                <w:spacing w:val="-1"/>
                <w:sz w:val="24"/>
                <w:szCs w:val="24"/>
              </w:rPr>
              <w:t>Minnesota Senior Care Plus (MSC+): 1915(b) and 1915(c) waiver authority</w:t>
            </w:r>
            <w:r w:rsidRPr="00B237B7">
              <w:rPr>
                <w:color w:val="000000"/>
                <w:spacing w:val="-1"/>
                <w:sz w:val="24"/>
                <w:szCs w:val="24"/>
              </w:rPr>
              <w:t xml:space="preserve"> </w:t>
            </w:r>
          </w:p>
          <w:p w14:paraId="11E1B5FA" w14:textId="77777777" w:rsidR="00FA3EEE" w:rsidRPr="00F0771E" w:rsidRDefault="00FA3EEE" w:rsidP="004D4FA3">
            <w:pPr>
              <w:tabs>
                <w:tab w:val="center" w:pos="4320"/>
                <w:tab w:val="right" w:pos="8640"/>
              </w:tabs>
              <w:spacing w:after="240" w:line="281" w:lineRule="exact"/>
            </w:pPr>
            <w:r w:rsidRPr="00B237B7">
              <w:rPr>
                <w:color w:val="000000"/>
                <w:spacing w:val="-1"/>
                <w:sz w:val="24"/>
                <w:szCs w:val="24"/>
              </w:rPr>
              <w:t>Minnesota Senior Health Options (MSHO): 1915(a)/1915(c) waiver authority</w:t>
            </w:r>
          </w:p>
        </w:tc>
      </w:tr>
      <w:tr w:rsidR="00FA3EEE" w:rsidRPr="00B237B7" w14:paraId="10149483" w14:textId="77777777" w:rsidTr="00B237B7">
        <w:tc>
          <w:tcPr>
            <w:tcW w:w="2236" w:type="dxa"/>
            <w:shd w:val="clear" w:color="auto" w:fill="auto"/>
          </w:tcPr>
          <w:p w14:paraId="274E69CF" w14:textId="77777777" w:rsidR="00FA3EEE" w:rsidRPr="00B237B7" w:rsidRDefault="00FA3EEE" w:rsidP="004D4FA3">
            <w:pPr>
              <w:tabs>
                <w:tab w:val="center" w:pos="4320"/>
                <w:tab w:val="right" w:pos="8640"/>
              </w:tabs>
              <w:spacing w:after="240" w:line="288" w:lineRule="exact"/>
              <w:rPr>
                <w:b/>
                <w:bCs/>
                <w:color w:val="000000"/>
                <w:sz w:val="24"/>
                <w:szCs w:val="24"/>
              </w:rPr>
            </w:pPr>
            <w:r w:rsidRPr="00B237B7">
              <w:rPr>
                <w:b/>
                <w:bCs/>
                <w:color w:val="000000"/>
                <w:sz w:val="24"/>
                <w:szCs w:val="24"/>
              </w:rPr>
              <w:t xml:space="preserve">Type of Entity: </w:t>
            </w:r>
          </w:p>
        </w:tc>
        <w:tc>
          <w:tcPr>
            <w:tcW w:w="7639" w:type="dxa"/>
            <w:shd w:val="clear" w:color="auto" w:fill="auto"/>
          </w:tcPr>
          <w:p w14:paraId="063DE8B1" w14:textId="77777777" w:rsidR="00FA3EEE" w:rsidRPr="00B237B7" w:rsidRDefault="00FA3EEE" w:rsidP="004D4FA3">
            <w:pPr>
              <w:tabs>
                <w:tab w:val="center" w:pos="4320"/>
                <w:tab w:val="right" w:pos="8640"/>
              </w:tabs>
              <w:spacing w:after="240" w:line="288" w:lineRule="exact"/>
              <w:rPr>
                <w:color w:val="000000"/>
                <w:sz w:val="24"/>
                <w:szCs w:val="24"/>
              </w:rPr>
            </w:pPr>
            <w:r w:rsidRPr="00B237B7">
              <w:rPr>
                <w:color w:val="000000"/>
                <w:sz w:val="24"/>
                <w:szCs w:val="24"/>
              </w:rPr>
              <w:t xml:space="preserve">MCO </w:t>
            </w:r>
          </w:p>
        </w:tc>
      </w:tr>
      <w:tr w:rsidR="00FA3EEE" w:rsidRPr="00B237B7" w14:paraId="2F828F2E" w14:textId="77777777" w:rsidTr="00B237B7">
        <w:tc>
          <w:tcPr>
            <w:tcW w:w="2236" w:type="dxa"/>
            <w:shd w:val="clear" w:color="auto" w:fill="auto"/>
          </w:tcPr>
          <w:p w14:paraId="009220A3" w14:textId="77777777" w:rsidR="00FA3EEE" w:rsidRPr="00B237B7" w:rsidRDefault="00FA3EEE" w:rsidP="004D4FA3">
            <w:pPr>
              <w:tabs>
                <w:tab w:val="center" w:pos="4320"/>
                <w:tab w:val="right" w:pos="8640"/>
              </w:tabs>
              <w:spacing w:after="240" w:line="288" w:lineRule="exact"/>
              <w:rPr>
                <w:b/>
                <w:bCs/>
                <w:color w:val="000000"/>
                <w:sz w:val="24"/>
                <w:szCs w:val="24"/>
              </w:rPr>
            </w:pPr>
            <w:r w:rsidRPr="00B237B7">
              <w:rPr>
                <w:b/>
                <w:bCs/>
                <w:color w:val="000000"/>
                <w:sz w:val="24"/>
                <w:szCs w:val="24"/>
              </w:rPr>
              <w:t xml:space="preserve">Type of Review: </w:t>
            </w:r>
          </w:p>
        </w:tc>
        <w:tc>
          <w:tcPr>
            <w:tcW w:w="7639" w:type="dxa"/>
            <w:shd w:val="clear" w:color="auto" w:fill="auto"/>
          </w:tcPr>
          <w:p w14:paraId="00FAC5CA" w14:textId="77777777" w:rsidR="00FA3EEE" w:rsidRPr="00B237B7" w:rsidRDefault="00FA3EEE" w:rsidP="004D4FA3">
            <w:pPr>
              <w:tabs>
                <w:tab w:val="center" w:pos="4320"/>
                <w:tab w:val="right" w:pos="8640"/>
              </w:tabs>
              <w:spacing w:after="240" w:line="288" w:lineRule="exact"/>
              <w:rPr>
                <w:color w:val="000000"/>
                <w:sz w:val="24"/>
                <w:szCs w:val="24"/>
              </w:rPr>
            </w:pPr>
            <w:r w:rsidRPr="00B237B7">
              <w:rPr>
                <w:color w:val="000000"/>
                <w:sz w:val="24"/>
                <w:szCs w:val="24"/>
              </w:rPr>
              <w:t xml:space="preserve">Renewal </w:t>
            </w:r>
          </w:p>
        </w:tc>
      </w:tr>
      <w:tr w:rsidR="00FA3EEE" w:rsidRPr="00F0771E" w14:paraId="35B21140" w14:textId="77777777" w:rsidTr="00B237B7">
        <w:tc>
          <w:tcPr>
            <w:tcW w:w="2236" w:type="dxa"/>
            <w:shd w:val="clear" w:color="auto" w:fill="auto"/>
          </w:tcPr>
          <w:p w14:paraId="3EBBB0E9" w14:textId="77777777" w:rsidR="00FA3EEE" w:rsidRPr="00B237B7" w:rsidRDefault="00FA3EEE" w:rsidP="004D4FA3">
            <w:pPr>
              <w:tabs>
                <w:tab w:val="center" w:pos="4320"/>
                <w:tab w:val="right" w:pos="8640"/>
              </w:tabs>
              <w:spacing w:after="240" w:line="288" w:lineRule="exact"/>
              <w:rPr>
                <w:b/>
                <w:bCs/>
                <w:color w:val="000000"/>
                <w:sz w:val="24"/>
                <w:szCs w:val="24"/>
              </w:rPr>
            </w:pPr>
            <w:r w:rsidRPr="00B237B7">
              <w:rPr>
                <w:b/>
                <w:bCs/>
                <w:color w:val="000000"/>
                <w:sz w:val="24"/>
                <w:szCs w:val="24"/>
              </w:rPr>
              <w:t>Contract Period:</w:t>
            </w:r>
          </w:p>
        </w:tc>
        <w:tc>
          <w:tcPr>
            <w:tcW w:w="7639" w:type="dxa"/>
            <w:shd w:val="clear" w:color="auto" w:fill="auto"/>
          </w:tcPr>
          <w:p w14:paraId="417EB9FE" w14:textId="47068627" w:rsidR="00FA3EEE" w:rsidRPr="00F0771E" w:rsidRDefault="00181A8F" w:rsidP="0082768A">
            <w:pPr>
              <w:tabs>
                <w:tab w:val="center" w:pos="4320"/>
                <w:tab w:val="right" w:pos="8640"/>
              </w:tabs>
              <w:spacing w:after="240" w:line="288" w:lineRule="exact"/>
            </w:pPr>
            <w:r w:rsidRPr="00181A8F">
              <w:rPr>
                <w:bCs/>
                <w:color w:val="000000"/>
                <w:sz w:val="24"/>
                <w:szCs w:val="24"/>
              </w:rPr>
              <w:t>January 1, 201</w:t>
            </w:r>
            <w:r w:rsidR="0082768A">
              <w:rPr>
                <w:bCs/>
                <w:color w:val="000000"/>
                <w:sz w:val="24"/>
                <w:szCs w:val="24"/>
              </w:rPr>
              <w:t>5</w:t>
            </w:r>
            <w:r w:rsidRPr="00181A8F">
              <w:rPr>
                <w:bCs/>
                <w:color w:val="000000"/>
                <w:sz w:val="24"/>
                <w:szCs w:val="24"/>
              </w:rPr>
              <w:t xml:space="preserve"> - December 31, 201</w:t>
            </w:r>
            <w:r w:rsidR="0082768A">
              <w:rPr>
                <w:bCs/>
                <w:color w:val="000000"/>
                <w:sz w:val="24"/>
                <w:szCs w:val="24"/>
              </w:rPr>
              <w:t>5</w:t>
            </w:r>
          </w:p>
        </w:tc>
      </w:tr>
      <w:tr w:rsidR="00FA3EEE" w:rsidRPr="00F0771E" w14:paraId="29B789A8" w14:textId="77777777" w:rsidTr="00B237B7">
        <w:tc>
          <w:tcPr>
            <w:tcW w:w="2236" w:type="dxa"/>
            <w:shd w:val="clear" w:color="auto" w:fill="auto"/>
          </w:tcPr>
          <w:p w14:paraId="0B4CA523" w14:textId="77777777" w:rsidR="00FA3EEE" w:rsidRPr="00B237B7" w:rsidRDefault="00FA3EEE" w:rsidP="004D4FA3">
            <w:pPr>
              <w:tabs>
                <w:tab w:val="center" w:pos="4320"/>
                <w:tab w:val="right" w:pos="8640"/>
              </w:tabs>
              <w:spacing w:before="288" w:after="240" w:line="281" w:lineRule="exact"/>
              <w:rPr>
                <w:b/>
                <w:bCs/>
                <w:color w:val="000000"/>
                <w:sz w:val="24"/>
                <w:szCs w:val="24"/>
              </w:rPr>
            </w:pPr>
            <w:r w:rsidRPr="00B237B7">
              <w:rPr>
                <w:b/>
                <w:bCs/>
                <w:color w:val="000000"/>
                <w:sz w:val="24"/>
                <w:szCs w:val="24"/>
              </w:rPr>
              <w:t xml:space="preserve">Contractors: </w:t>
            </w:r>
          </w:p>
        </w:tc>
        <w:tc>
          <w:tcPr>
            <w:tcW w:w="7639" w:type="dxa"/>
            <w:shd w:val="clear" w:color="auto" w:fill="auto"/>
          </w:tcPr>
          <w:p w14:paraId="1667DDE0" w14:textId="33C9D42C" w:rsidR="00FA3EEE" w:rsidRPr="00F0771E" w:rsidRDefault="00FA3EEE" w:rsidP="0082768A">
            <w:pPr>
              <w:tabs>
                <w:tab w:val="center" w:pos="4320"/>
                <w:tab w:val="right" w:pos="8640"/>
              </w:tabs>
              <w:spacing w:before="288" w:after="240" w:line="281" w:lineRule="exact"/>
            </w:pPr>
            <w:r w:rsidRPr="00B237B7">
              <w:rPr>
                <w:bCs/>
                <w:color w:val="000000"/>
                <w:sz w:val="24"/>
                <w:szCs w:val="24"/>
              </w:rPr>
              <w:t>Blue Plus, HealthPartners, Itasca Medical Care, Medica</w:t>
            </w:r>
            <w:r w:rsidR="00583701">
              <w:rPr>
                <w:bCs/>
                <w:color w:val="000000"/>
                <w:sz w:val="24"/>
                <w:szCs w:val="24"/>
              </w:rPr>
              <w:t xml:space="preserve"> Health Plans</w:t>
            </w:r>
            <w:r w:rsidRPr="00B237B7">
              <w:rPr>
                <w:bCs/>
                <w:color w:val="000000"/>
                <w:sz w:val="24"/>
                <w:szCs w:val="24"/>
              </w:rPr>
              <w:t>, PrimeWest Health, South Country Health Alliance, UCare Minnesota</w:t>
            </w:r>
          </w:p>
        </w:tc>
      </w:tr>
    </w:tbl>
    <w:p w14:paraId="0128BD1D" w14:textId="77777777" w:rsidR="00FA3EEE" w:rsidRDefault="00FA3EEE" w:rsidP="00FA3EEE">
      <w:pPr>
        <w:shd w:val="clear" w:color="auto" w:fill="FFFFFF"/>
        <w:tabs>
          <w:tab w:val="left" w:pos="5069"/>
        </w:tabs>
        <w:spacing w:before="288"/>
        <w:ind w:left="7"/>
      </w:pPr>
      <w:r>
        <w:rPr>
          <w:b/>
          <w:bCs/>
          <w:color w:val="000000"/>
          <w:spacing w:val="-6"/>
          <w:sz w:val="24"/>
          <w:szCs w:val="24"/>
        </w:rPr>
        <w:t>Reviewer:______________________________</w:t>
      </w:r>
      <w:r>
        <w:rPr>
          <w:rFonts w:ascii="Arial" w:cs="Arial"/>
          <w:b/>
          <w:bCs/>
          <w:color w:val="000000"/>
          <w:sz w:val="24"/>
          <w:szCs w:val="24"/>
        </w:rPr>
        <w:tab/>
      </w:r>
      <w:r>
        <w:rPr>
          <w:b/>
          <w:bCs/>
          <w:color w:val="000000"/>
          <w:spacing w:val="-7"/>
          <w:sz w:val="24"/>
          <w:szCs w:val="24"/>
        </w:rPr>
        <w:t>Date:________________________________</w:t>
      </w:r>
    </w:p>
    <w:p w14:paraId="12EBB52A" w14:textId="77777777" w:rsidR="00FA3EEE" w:rsidRDefault="00FA3EEE" w:rsidP="00FA3EEE">
      <w:pPr>
        <w:shd w:val="clear" w:color="auto" w:fill="FFFFFF"/>
        <w:spacing w:before="569" w:line="281" w:lineRule="exact"/>
        <w:ind w:left="7"/>
      </w:pPr>
      <w:r w:rsidRPr="00826463">
        <w:rPr>
          <w:b/>
          <w:bCs/>
          <w:color w:val="000000"/>
          <w:spacing w:val="-1"/>
          <w:sz w:val="24"/>
          <w:szCs w:val="24"/>
          <w:u w:val="single"/>
        </w:rPr>
        <w:t>Background</w:t>
      </w:r>
      <w:r>
        <w:rPr>
          <w:b/>
          <w:bCs/>
          <w:color w:val="000000"/>
          <w:spacing w:val="-1"/>
          <w:sz w:val="24"/>
          <w:szCs w:val="24"/>
        </w:rPr>
        <w:t>:</w:t>
      </w:r>
    </w:p>
    <w:p w14:paraId="7791C580" w14:textId="77777777" w:rsidR="00FA3EEE" w:rsidRDefault="00FA3EEE" w:rsidP="00FA3EEE">
      <w:pPr>
        <w:shd w:val="clear" w:color="auto" w:fill="FFFFFF"/>
        <w:spacing w:line="281" w:lineRule="exact"/>
        <w:ind w:left="7"/>
        <w:rPr>
          <w:bCs/>
          <w:color w:val="000000"/>
          <w:sz w:val="24"/>
          <w:szCs w:val="24"/>
          <w:u w:val="single"/>
        </w:rPr>
      </w:pPr>
    </w:p>
    <w:p w14:paraId="2E52C283" w14:textId="77777777" w:rsidR="00FA3EEE" w:rsidRPr="0014660F" w:rsidRDefault="00FA3EEE" w:rsidP="00FA3EEE">
      <w:pPr>
        <w:shd w:val="clear" w:color="auto" w:fill="FFFFFF"/>
        <w:spacing w:line="281" w:lineRule="exact"/>
        <w:ind w:left="7"/>
        <w:rPr>
          <w:bCs/>
          <w:color w:val="000000"/>
          <w:sz w:val="24"/>
          <w:szCs w:val="24"/>
          <w:u w:val="single"/>
        </w:rPr>
      </w:pPr>
      <w:r>
        <w:rPr>
          <w:bCs/>
          <w:color w:val="000000"/>
          <w:sz w:val="24"/>
          <w:szCs w:val="24"/>
          <w:u w:val="single"/>
        </w:rPr>
        <w:t xml:space="preserve">1.  </w:t>
      </w:r>
      <w:r w:rsidRPr="0014660F">
        <w:rPr>
          <w:bCs/>
          <w:color w:val="000000"/>
          <w:sz w:val="24"/>
          <w:szCs w:val="24"/>
          <w:u w:val="single"/>
        </w:rPr>
        <w:t xml:space="preserve">Minnesota Senior Care Plus (MSC+) </w:t>
      </w:r>
    </w:p>
    <w:p w14:paraId="37FCF953" w14:textId="77777777" w:rsidR="00FA3EEE" w:rsidRDefault="00FA3EEE" w:rsidP="00FA3EEE">
      <w:pPr>
        <w:shd w:val="clear" w:color="auto" w:fill="FFFFFF"/>
        <w:spacing w:line="281" w:lineRule="exact"/>
        <w:ind w:left="7"/>
      </w:pPr>
    </w:p>
    <w:p w14:paraId="5897F4DD" w14:textId="045159A6" w:rsidR="00FA3EEE" w:rsidRDefault="00FA3EEE" w:rsidP="00FA3EEE">
      <w:pPr>
        <w:shd w:val="clear" w:color="auto" w:fill="FFFFFF"/>
        <w:spacing w:line="281" w:lineRule="exact"/>
        <w:rPr>
          <w:color w:val="000000"/>
          <w:sz w:val="24"/>
          <w:szCs w:val="24"/>
        </w:rPr>
      </w:pPr>
      <w:r>
        <w:rPr>
          <w:color w:val="000000"/>
          <w:sz w:val="24"/>
          <w:szCs w:val="24"/>
        </w:rPr>
        <w:t>Most Minnesota Medicaid seniors a</w:t>
      </w:r>
      <w:r w:rsidR="007103EB">
        <w:rPr>
          <w:color w:val="000000"/>
          <w:sz w:val="24"/>
          <w:szCs w:val="24"/>
        </w:rPr>
        <w:t>ge 65 and ove</w:t>
      </w:r>
      <w:r w:rsidR="007103EB" w:rsidRPr="00E21725">
        <w:rPr>
          <w:color w:val="000000"/>
          <w:sz w:val="24"/>
          <w:szCs w:val="24"/>
        </w:rPr>
        <w:t xml:space="preserve">r, including </w:t>
      </w:r>
      <w:r w:rsidR="00230E78" w:rsidRPr="00E21725">
        <w:rPr>
          <w:color w:val="000000"/>
          <w:sz w:val="24"/>
          <w:szCs w:val="24"/>
        </w:rPr>
        <w:t>d</w:t>
      </w:r>
      <w:r w:rsidR="007103EB" w:rsidRPr="00E21725">
        <w:rPr>
          <w:color w:val="000000"/>
          <w:sz w:val="24"/>
          <w:szCs w:val="24"/>
        </w:rPr>
        <w:t xml:space="preserve">ual </w:t>
      </w:r>
      <w:r w:rsidR="00230E78" w:rsidRPr="00E21725">
        <w:rPr>
          <w:color w:val="000000"/>
          <w:sz w:val="24"/>
          <w:szCs w:val="24"/>
        </w:rPr>
        <w:t>e</w:t>
      </w:r>
      <w:r w:rsidRPr="00E21725">
        <w:rPr>
          <w:color w:val="000000"/>
          <w:sz w:val="24"/>
          <w:szCs w:val="24"/>
        </w:rPr>
        <w:t>ligible p</w:t>
      </w:r>
      <w:r>
        <w:rPr>
          <w:color w:val="000000"/>
          <w:sz w:val="24"/>
          <w:szCs w:val="24"/>
        </w:rPr>
        <w:t xml:space="preserve">ersons, are required to enroll in managed care.  Minnesota converted enrollment in Minnesota’s Medicaid managed care </w:t>
      </w:r>
      <w:r>
        <w:rPr>
          <w:color w:val="000000"/>
          <w:spacing w:val="-1"/>
          <w:sz w:val="24"/>
          <w:szCs w:val="24"/>
        </w:rPr>
        <w:t>program (known as the Prepaid Me</w:t>
      </w:r>
      <w:r w:rsidR="005652D5">
        <w:rPr>
          <w:color w:val="000000"/>
          <w:spacing w:val="-1"/>
          <w:sz w:val="24"/>
          <w:szCs w:val="24"/>
        </w:rPr>
        <w:t>dical Assistance Program</w:t>
      </w:r>
      <w:r>
        <w:rPr>
          <w:color w:val="000000"/>
          <w:spacing w:val="-1"/>
          <w:sz w:val="24"/>
          <w:szCs w:val="24"/>
        </w:rPr>
        <w:t xml:space="preserve">) to a 1915(b) waiver </w:t>
      </w:r>
      <w:r>
        <w:rPr>
          <w:color w:val="000000"/>
          <w:sz w:val="24"/>
          <w:szCs w:val="24"/>
        </w:rPr>
        <w:t xml:space="preserve">approved April 1, 2005 and implemented effective June 1, 2005.   </w:t>
      </w:r>
      <w:r w:rsidR="00A25511">
        <w:rPr>
          <w:color w:val="000000"/>
          <w:sz w:val="24"/>
          <w:szCs w:val="24"/>
        </w:rPr>
        <w:t xml:space="preserve"> </w:t>
      </w:r>
      <w:r w:rsidR="00230E78">
        <w:rPr>
          <w:color w:val="000000"/>
          <w:sz w:val="24"/>
          <w:szCs w:val="24"/>
        </w:rPr>
        <w:t xml:space="preserve">Enrollment is mandatory in all 87 counties.  </w:t>
      </w:r>
      <w:r>
        <w:rPr>
          <w:color w:val="000000"/>
          <w:sz w:val="24"/>
          <w:szCs w:val="24"/>
        </w:rPr>
        <w:t xml:space="preserve">The State has contracted with </w:t>
      </w:r>
      <w:r w:rsidR="0082768A">
        <w:rPr>
          <w:color w:val="000000"/>
          <w:sz w:val="24"/>
          <w:szCs w:val="24"/>
        </w:rPr>
        <w:t xml:space="preserve">seven </w:t>
      </w:r>
      <w:r>
        <w:rPr>
          <w:color w:val="000000"/>
          <w:sz w:val="24"/>
          <w:szCs w:val="24"/>
        </w:rPr>
        <w:t>MCOs to provide MSC+ in 201</w:t>
      </w:r>
      <w:r w:rsidR="0082768A">
        <w:rPr>
          <w:color w:val="000000"/>
          <w:sz w:val="24"/>
          <w:szCs w:val="24"/>
        </w:rPr>
        <w:t>5</w:t>
      </w:r>
      <w:r>
        <w:rPr>
          <w:color w:val="000000"/>
          <w:sz w:val="24"/>
          <w:szCs w:val="24"/>
        </w:rPr>
        <w:t xml:space="preserve">.  </w:t>
      </w:r>
    </w:p>
    <w:p w14:paraId="5899B839" w14:textId="77777777" w:rsidR="00FA3EEE" w:rsidRDefault="00FA3EEE" w:rsidP="00FA3EEE">
      <w:pPr>
        <w:shd w:val="clear" w:color="auto" w:fill="FFFFFF"/>
        <w:spacing w:line="281" w:lineRule="exact"/>
      </w:pPr>
    </w:p>
    <w:p w14:paraId="1C3D38CD" w14:textId="77777777" w:rsidR="00FA3EEE" w:rsidRDefault="00FA3EEE" w:rsidP="00FA3EEE">
      <w:pPr>
        <w:shd w:val="clear" w:color="auto" w:fill="FFFFFF"/>
        <w:spacing w:line="281" w:lineRule="exact"/>
        <w:rPr>
          <w:bCs/>
          <w:color w:val="000000"/>
          <w:sz w:val="24"/>
          <w:szCs w:val="24"/>
          <w:u w:val="single"/>
        </w:rPr>
      </w:pPr>
      <w:r>
        <w:rPr>
          <w:bCs/>
          <w:color w:val="000000"/>
          <w:sz w:val="24"/>
          <w:szCs w:val="24"/>
          <w:u w:val="single"/>
        </w:rPr>
        <w:t xml:space="preserve">2.  </w:t>
      </w:r>
      <w:r w:rsidRPr="00745EC7">
        <w:rPr>
          <w:bCs/>
          <w:color w:val="000000"/>
          <w:sz w:val="24"/>
          <w:szCs w:val="24"/>
          <w:u w:val="single"/>
        </w:rPr>
        <w:t>Minnesota Senior Health Options (MSHO)</w:t>
      </w:r>
    </w:p>
    <w:p w14:paraId="73B8DEFF" w14:textId="77777777" w:rsidR="00FA3EEE" w:rsidRDefault="00FA3EEE" w:rsidP="00FA3EEE">
      <w:pPr>
        <w:shd w:val="clear" w:color="auto" w:fill="FFFFFF"/>
        <w:spacing w:line="281" w:lineRule="exact"/>
        <w:rPr>
          <w:color w:val="000000"/>
          <w:sz w:val="24"/>
          <w:szCs w:val="24"/>
        </w:rPr>
      </w:pPr>
    </w:p>
    <w:p w14:paraId="164FC444" w14:textId="487E4A46" w:rsidR="0037093F" w:rsidRDefault="00FA3EEE" w:rsidP="00FA3EEE">
      <w:pPr>
        <w:shd w:val="clear" w:color="auto" w:fill="FFFFFF"/>
        <w:spacing w:line="281" w:lineRule="exact"/>
        <w:rPr>
          <w:color w:val="000000"/>
          <w:sz w:val="24"/>
          <w:szCs w:val="24"/>
        </w:rPr>
      </w:pPr>
      <w:r>
        <w:rPr>
          <w:color w:val="000000"/>
          <w:sz w:val="24"/>
          <w:szCs w:val="24"/>
        </w:rPr>
        <w:t>MSHO began in 1997 as a Medicare demonstration for dually eligible seniors</w:t>
      </w:r>
      <w:r w:rsidR="00230E78">
        <w:rPr>
          <w:color w:val="000000"/>
          <w:sz w:val="24"/>
          <w:szCs w:val="24"/>
        </w:rPr>
        <w:t xml:space="preserve"> age</w:t>
      </w:r>
      <w:r>
        <w:rPr>
          <w:color w:val="000000"/>
          <w:sz w:val="24"/>
          <w:szCs w:val="24"/>
        </w:rPr>
        <w:t xml:space="preserve"> 65 and older. </w:t>
      </w:r>
      <w:r w:rsidR="00921FD5">
        <w:rPr>
          <w:color w:val="000000"/>
          <w:sz w:val="24"/>
          <w:szCs w:val="24"/>
        </w:rPr>
        <w:t xml:space="preserve"> </w:t>
      </w:r>
      <w:r>
        <w:rPr>
          <w:color w:val="000000"/>
          <w:sz w:val="24"/>
          <w:szCs w:val="24"/>
        </w:rPr>
        <w:t xml:space="preserve">It was transitioned to Medicare Advantage Special Needs Plan </w:t>
      </w:r>
      <w:r w:rsidR="0037093F">
        <w:rPr>
          <w:color w:val="000000"/>
          <w:sz w:val="24"/>
          <w:szCs w:val="24"/>
        </w:rPr>
        <w:t xml:space="preserve">(SNP) </w:t>
      </w:r>
      <w:r>
        <w:rPr>
          <w:color w:val="000000"/>
          <w:sz w:val="24"/>
          <w:szCs w:val="24"/>
        </w:rPr>
        <w:t xml:space="preserve">contracts in 2005 and 2006.  MSHO operates under 1915(a) and (c) authority for Medicaid.  </w:t>
      </w:r>
    </w:p>
    <w:p w14:paraId="0D292046" w14:textId="77777777" w:rsidR="0037093F" w:rsidRDefault="0037093F" w:rsidP="00FA3EEE">
      <w:pPr>
        <w:shd w:val="clear" w:color="auto" w:fill="FFFFFF"/>
        <w:spacing w:line="281" w:lineRule="exact"/>
        <w:rPr>
          <w:color w:val="000000"/>
          <w:sz w:val="24"/>
          <w:szCs w:val="24"/>
        </w:rPr>
      </w:pPr>
    </w:p>
    <w:p w14:paraId="7DC7E06A" w14:textId="655FAF04" w:rsidR="00FA3EEE" w:rsidRDefault="00EE1A18" w:rsidP="009F0317">
      <w:pPr>
        <w:shd w:val="clear" w:color="auto" w:fill="FFFFFF"/>
        <w:spacing w:line="281" w:lineRule="exact"/>
      </w:pPr>
      <w:r>
        <w:rPr>
          <w:color w:val="000000"/>
          <w:sz w:val="24"/>
          <w:szCs w:val="24"/>
        </w:rPr>
        <w:t xml:space="preserve">For 2015, </w:t>
      </w:r>
      <w:r w:rsidR="00FA3EEE">
        <w:rPr>
          <w:color w:val="000000"/>
          <w:sz w:val="24"/>
          <w:szCs w:val="24"/>
        </w:rPr>
        <w:t xml:space="preserve">MSHO </w:t>
      </w:r>
      <w:r>
        <w:rPr>
          <w:color w:val="000000"/>
          <w:sz w:val="24"/>
          <w:szCs w:val="24"/>
        </w:rPr>
        <w:t xml:space="preserve">continues to </w:t>
      </w:r>
      <w:r w:rsidR="00FA3EEE">
        <w:rPr>
          <w:color w:val="000000"/>
          <w:sz w:val="24"/>
          <w:szCs w:val="24"/>
        </w:rPr>
        <w:t xml:space="preserve">integrate Medicare and Medicaid service delivery and funding for </w:t>
      </w:r>
      <w:r w:rsidR="005652D5" w:rsidRPr="00E21725">
        <w:rPr>
          <w:color w:val="000000"/>
          <w:sz w:val="24"/>
          <w:szCs w:val="24"/>
        </w:rPr>
        <w:t>d</w:t>
      </w:r>
      <w:r w:rsidR="00FA3EEE" w:rsidRPr="00E21725">
        <w:rPr>
          <w:color w:val="000000"/>
          <w:sz w:val="24"/>
          <w:szCs w:val="24"/>
        </w:rPr>
        <w:t>ual eligible</w:t>
      </w:r>
      <w:r w:rsidR="00FA3EEE">
        <w:rPr>
          <w:color w:val="000000"/>
          <w:sz w:val="24"/>
          <w:szCs w:val="24"/>
        </w:rPr>
        <w:t xml:space="preserve"> persons</w:t>
      </w:r>
      <w:r w:rsidR="009F0317">
        <w:rPr>
          <w:color w:val="000000"/>
          <w:sz w:val="24"/>
          <w:szCs w:val="24"/>
        </w:rPr>
        <w:t xml:space="preserve"> under a Memorandum of Understa</w:t>
      </w:r>
      <w:r w:rsidR="00F86A7F">
        <w:rPr>
          <w:color w:val="000000"/>
          <w:sz w:val="24"/>
          <w:szCs w:val="24"/>
        </w:rPr>
        <w:t>n</w:t>
      </w:r>
      <w:r w:rsidR="009F0317">
        <w:rPr>
          <w:color w:val="000000"/>
          <w:sz w:val="24"/>
          <w:szCs w:val="24"/>
        </w:rPr>
        <w:t>ding</w:t>
      </w:r>
      <w:r w:rsidR="00A2170D">
        <w:rPr>
          <w:color w:val="000000"/>
          <w:sz w:val="24"/>
          <w:szCs w:val="24"/>
        </w:rPr>
        <w:t xml:space="preserve"> (MOU)</w:t>
      </w:r>
      <w:r w:rsidR="009F0317">
        <w:rPr>
          <w:color w:val="000000"/>
          <w:sz w:val="24"/>
          <w:szCs w:val="24"/>
        </w:rPr>
        <w:t xml:space="preserve"> with CMS titled “</w:t>
      </w:r>
      <w:r w:rsidR="009F0317" w:rsidRPr="009F0317">
        <w:rPr>
          <w:color w:val="000000"/>
          <w:sz w:val="24"/>
          <w:szCs w:val="24"/>
        </w:rPr>
        <w:t>Federal-State Partnership to</w:t>
      </w:r>
      <w:r>
        <w:rPr>
          <w:color w:val="000000"/>
          <w:sz w:val="24"/>
          <w:szCs w:val="24"/>
        </w:rPr>
        <w:t xml:space="preserve"> </w:t>
      </w:r>
      <w:r w:rsidR="009F0317" w:rsidRPr="009F0317">
        <w:rPr>
          <w:color w:val="000000"/>
          <w:sz w:val="24"/>
          <w:szCs w:val="24"/>
        </w:rPr>
        <w:t>Align Administrative Functions for Improvements in</w:t>
      </w:r>
      <w:r w:rsidR="009F0317">
        <w:rPr>
          <w:color w:val="000000"/>
          <w:sz w:val="24"/>
          <w:szCs w:val="24"/>
        </w:rPr>
        <w:t xml:space="preserve"> </w:t>
      </w:r>
      <w:r w:rsidR="009F0317" w:rsidRPr="009F0317">
        <w:rPr>
          <w:color w:val="000000"/>
          <w:sz w:val="24"/>
          <w:szCs w:val="24"/>
        </w:rPr>
        <w:t>Medicare-Medicaid Beneficiary Experience</w:t>
      </w:r>
      <w:r w:rsidR="00A2170D">
        <w:rPr>
          <w:color w:val="000000"/>
          <w:sz w:val="24"/>
          <w:szCs w:val="24"/>
        </w:rPr>
        <w:t>.</w:t>
      </w:r>
      <w:r w:rsidR="009F0317">
        <w:rPr>
          <w:color w:val="000000"/>
          <w:sz w:val="24"/>
          <w:szCs w:val="24"/>
        </w:rPr>
        <w:t>”</w:t>
      </w:r>
      <w:r w:rsidR="00FA3EEE">
        <w:rPr>
          <w:color w:val="000000"/>
          <w:sz w:val="24"/>
          <w:szCs w:val="24"/>
        </w:rPr>
        <w:t xml:space="preserve">  </w:t>
      </w:r>
      <w:r w:rsidR="00A2170D">
        <w:rPr>
          <w:color w:val="000000"/>
          <w:sz w:val="24"/>
          <w:szCs w:val="24"/>
        </w:rPr>
        <w:t>T</w:t>
      </w:r>
      <w:r w:rsidR="006A4D15">
        <w:rPr>
          <w:color w:val="000000"/>
          <w:sz w:val="24"/>
          <w:szCs w:val="24"/>
        </w:rPr>
        <w:t xml:space="preserve">he MOU does not affect ratesetting.  </w:t>
      </w:r>
      <w:r w:rsidR="00FA3EEE">
        <w:rPr>
          <w:color w:val="000000"/>
          <w:sz w:val="24"/>
          <w:szCs w:val="24"/>
        </w:rPr>
        <w:t xml:space="preserve">Under MSHO, the State contracts with eight MCOs to provide integrated Medicare and Medicaid services; all </w:t>
      </w:r>
      <w:r w:rsidR="00E21725">
        <w:rPr>
          <w:color w:val="000000"/>
          <w:sz w:val="24"/>
          <w:szCs w:val="24"/>
        </w:rPr>
        <w:t xml:space="preserve">seven </w:t>
      </w:r>
      <w:r w:rsidR="00E44ABA">
        <w:rPr>
          <w:color w:val="000000"/>
          <w:sz w:val="24"/>
          <w:szCs w:val="24"/>
        </w:rPr>
        <w:t>MCO</w:t>
      </w:r>
      <w:r w:rsidR="00FA3EEE">
        <w:rPr>
          <w:color w:val="000000"/>
          <w:sz w:val="24"/>
          <w:szCs w:val="24"/>
        </w:rPr>
        <w:t xml:space="preserve">s also participate in MSC+.  </w:t>
      </w:r>
      <w:r w:rsidR="00FA3EEE">
        <w:rPr>
          <w:color w:val="000000"/>
          <w:spacing w:val="-1"/>
          <w:sz w:val="24"/>
          <w:szCs w:val="24"/>
        </w:rPr>
        <w:t xml:space="preserve">All MCOs </w:t>
      </w:r>
      <w:r w:rsidR="00A2170D">
        <w:rPr>
          <w:color w:val="000000"/>
          <w:spacing w:val="-1"/>
          <w:sz w:val="24"/>
          <w:szCs w:val="24"/>
        </w:rPr>
        <w:t xml:space="preserve">participating in MSHO </w:t>
      </w:r>
      <w:r w:rsidR="00FA3EEE">
        <w:rPr>
          <w:color w:val="000000"/>
          <w:spacing w:val="-1"/>
          <w:sz w:val="24"/>
          <w:szCs w:val="24"/>
        </w:rPr>
        <w:t xml:space="preserve">have also been approved by CMS as Medicare Advantage Special Needs Plans </w:t>
      </w:r>
      <w:r w:rsidR="00FA3EEE">
        <w:rPr>
          <w:color w:val="000000"/>
          <w:sz w:val="24"/>
          <w:szCs w:val="24"/>
        </w:rPr>
        <w:t>(SNPs) for dual eligible persons</w:t>
      </w:r>
      <w:r w:rsidR="00A2170D">
        <w:rPr>
          <w:color w:val="000000"/>
          <w:sz w:val="24"/>
          <w:szCs w:val="24"/>
        </w:rPr>
        <w:t>,</w:t>
      </w:r>
      <w:r w:rsidR="00FA3EEE">
        <w:rPr>
          <w:color w:val="000000"/>
          <w:sz w:val="24"/>
          <w:szCs w:val="24"/>
        </w:rPr>
        <w:t xml:space="preserve"> with an approved subset for seniors age 65 and over.  CMS has entered into a separate SNP contract for Medicare services with each MSHO plan for </w:t>
      </w:r>
      <w:r w:rsidR="00492426">
        <w:rPr>
          <w:color w:val="000000"/>
          <w:sz w:val="24"/>
          <w:szCs w:val="24"/>
        </w:rPr>
        <w:t xml:space="preserve"> </w:t>
      </w:r>
      <w:r w:rsidR="00492426" w:rsidRPr="00492426">
        <w:rPr>
          <w:color w:val="000000"/>
          <w:sz w:val="24"/>
          <w:szCs w:val="24"/>
        </w:rPr>
        <w:t>the upcoming year</w:t>
      </w:r>
      <w:r w:rsidR="00FA3EEE">
        <w:rPr>
          <w:color w:val="000000"/>
          <w:sz w:val="24"/>
          <w:szCs w:val="24"/>
        </w:rPr>
        <w:t xml:space="preserve">.  MSHO is operated as an integrated program </w:t>
      </w:r>
      <w:r w:rsidR="00A2170D">
        <w:rPr>
          <w:color w:val="000000"/>
          <w:sz w:val="24"/>
          <w:szCs w:val="24"/>
        </w:rPr>
        <w:t xml:space="preserve">in which </w:t>
      </w:r>
      <w:r w:rsidR="00FA3EEE">
        <w:rPr>
          <w:color w:val="000000"/>
          <w:sz w:val="24"/>
          <w:szCs w:val="24"/>
        </w:rPr>
        <w:t xml:space="preserve">Medicare and Medicaid enrollment, member materials and most other administrative features are integrated, and has provided a unique opportunity to offer a </w:t>
      </w:r>
      <w:r w:rsidR="00FA3EEE">
        <w:rPr>
          <w:color w:val="000000"/>
          <w:sz w:val="24"/>
          <w:szCs w:val="24"/>
        </w:rPr>
        <w:lastRenderedPageBreak/>
        <w:t xml:space="preserve">fully integrated </w:t>
      </w:r>
      <w:r w:rsidR="00FA3EEE">
        <w:rPr>
          <w:color w:val="000000"/>
          <w:spacing w:val="-1"/>
          <w:sz w:val="24"/>
          <w:szCs w:val="24"/>
        </w:rPr>
        <w:t xml:space="preserve">Medicaid and Medicare program, including Part D and Long Term Care benefits, to most seniors </w:t>
      </w:r>
      <w:r w:rsidR="00A2170D">
        <w:rPr>
          <w:color w:val="000000"/>
          <w:spacing w:val="-1"/>
          <w:sz w:val="24"/>
          <w:szCs w:val="24"/>
        </w:rPr>
        <w:t xml:space="preserve">enrolled in  </w:t>
      </w:r>
      <w:r w:rsidR="00FA3EEE">
        <w:rPr>
          <w:color w:val="000000"/>
          <w:spacing w:val="-1"/>
          <w:sz w:val="24"/>
          <w:szCs w:val="24"/>
        </w:rPr>
        <w:t xml:space="preserve">Medicaid in Minnesota.  </w:t>
      </w:r>
    </w:p>
    <w:p w14:paraId="77F92B2E" w14:textId="22CA138E" w:rsidR="00FA3EEE" w:rsidRDefault="00FA3EEE" w:rsidP="00FA3EEE">
      <w:pPr>
        <w:shd w:val="clear" w:color="auto" w:fill="FFFFFF"/>
        <w:spacing w:before="274" w:line="281" w:lineRule="exact"/>
        <w:ind w:left="7"/>
        <w:rPr>
          <w:color w:val="000000"/>
          <w:sz w:val="24"/>
          <w:szCs w:val="24"/>
        </w:rPr>
      </w:pPr>
      <w:r>
        <w:rPr>
          <w:color w:val="000000"/>
          <w:sz w:val="24"/>
          <w:szCs w:val="24"/>
        </w:rPr>
        <w:t xml:space="preserve">Enrollment in MSHO is voluntary, so that enrollees can choose MSHO as an alternative to mandatory enrollment in MSC+.  Most seniors required to enroll in MSC+ have chosen to enroll in MSHO.  Enrollees who disenroll from MSHO are returned to the mandatory MSC+ program.  </w:t>
      </w:r>
    </w:p>
    <w:p w14:paraId="2CFA7A79" w14:textId="32F94733" w:rsidR="00FA3EEE" w:rsidRDefault="004E0867" w:rsidP="00FA3EEE">
      <w:pPr>
        <w:shd w:val="clear" w:color="auto" w:fill="FFFFFF"/>
        <w:spacing w:before="281" w:line="281" w:lineRule="exact"/>
        <w:ind w:left="14"/>
        <w:rPr>
          <w:color w:val="000000"/>
          <w:sz w:val="24"/>
          <w:szCs w:val="24"/>
        </w:rPr>
      </w:pPr>
      <w:r w:rsidRPr="004E0867">
        <w:rPr>
          <w:color w:val="000000"/>
          <w:sz w:val="24"/>
          <w:szCs w:val="24"/>
        </w:rPr>
        <w:t xml:space="preserve">Total enrollment for seniors in all managed care options is currently </w:t>
      </w:r>
      <w:r w:rsidR="00372CA3">
        <w:rPr>
          <w:color w:val="000000"/>
          <w:sz w:val="24"/>
          <w:szCs w:val="24"/>
        </w:rPr>
        <w:t>48,297</w:t>
      </w:r>
      <w:r w:rsidR="009E1EB7">
        <w:rPr>
          <w:color w:val="000000"/>
          <w:sz w:val="24"/>
          <w:szCs w:val="24"/>
        </w:rPr>
        <w:t xml:space="preserve"> </w:t>
      </w:r>
      <w:r w:rsidRPr="004E0867">
        <w:rPr>
          <w:color w:val="000000"/>
          <w:sz w:val="24"/>
          <w:szCs w:val="24"/>
        </w:rPr>
        <w:t>out of approximately 56,000 Medicaid</w:t>
      </w:r>
      <w:r w:rsidR="00EE1A18">
        <w:rPr>
          <w:color w:val="000000"/>
          <w:sz w:val="24"/>
          <w:szCs w:val="24"/>
        </w:rPr>
        <w:t xml:space="preserve">-eligible seniors (December </w:t>
      </w:r>
      <w:r w:rsidR="00EE1A18" w:rsidRPr="00372CA3">
        <w:rPr>
          <w:color w:val="000000"/>
          <w:sz w:val="24"/>
          <w:szCs w:val="24"/>
        </w:rPr>
        <w:t>2014</w:t>
      </w:r>
      <w:r w:rsidRPr="004E0867">
        <w:rPr>
          <w:color w:val="000000"/>
          <w:sz w:val="24"/>
          <w:szCs w:val="24"/>
        </w:rPr>
        <w:t xml:space="preserve">).  </w:t>
      </w:r>
      <w:r>
        <w:rPr>
          <w:color w:val="000000"/>
          <w:sz w:val="24"/>
          <w:szCs w:val="24"/>
        </w:rPr>
        <w:t xml:space="preserve"> </w:t>
      </w:r>
    </w:p>
    <w:p w14:paraId="56A77622" w14:textId="77777777" w:rsidR="004E0867" w:rsidRDefault="004E0867" w:rsidP="00FA3EEE">
      <w:pPr>
        <w:shd w:val="clear" w:color="auto" w:fill="FFFFFF"/>
        <w:spacing w:before="281" w:line="281" w:lineRule="exact"/>
        <w:ind w:left="14"/>
        <w:rPr>
          <w:color w:val="000000"/>
          <w:sz w:val="24"/>
          <w:szCs w:val="24"/>
        </w:rPr>
      </w:pPr>
    </w:p>
    <w:tbl>
      <w:tblPr>
        <w:tblW w:w="960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1E0" w:firstRow="1" w:lastRow="1" w:firstColumn="1" w:lastColumn="1" w:noHBand="0" w:noVBand="0"/>
      </w:tblPr>
      <w:tblGrid>
        <w:gridCol w:w="2268"/>
        <w:gridCol w:w="7337"/>
      </w:tblGrid>
      <w:tr w:rsidR="0080066A" w14:paraId="117109C1" w14:textId="77777777" w:rsidTr="00E21725">
        <w:tc>
          <w:tcPr>
            <w:tcW w:w="2268" w:type="dxa"/>
            <w:shd w:val="clear" w:color="auto" w:fill="auto"/>
          </w:tcPr>
          <w:p w14:paraId="0580AAAD" w14:textId="77777777" w:rsidR="0080066A" w:rsidRDefault="00E25CF6" w:rsidP="00B237B7">
            <w:pPr>
              <w:tabs>
                <w:tab w:val="center" w:pos="4320"/>
                <w:tab w:val="right" w:pos="8640"/>
              </w:tabs>
              <w:spacing w:after="240"/>
              <w:rPr>
                <w:rFonts w:ascii="Calibri" w:hAnsi="Calibri" w:cs="Calibri"/>
              </w:rPr>
            </w:pPr>
            <w:r w:rsidRPr="00E25CF6">
              <w:rPr>
                <w:rFonts w:ascii="Calibri" w:hAnsi="Calibri" w:cs="Calibri"/>
              </w:rPr>
              <w:t>AA.1.0.  The contract must specify the payment rates and any risk-sharing mechanisms and the actuarial basis for computation of those rates and mechanisms. Includes: the rates and time period; the risk-sharing; the actuarial basis. Specify new or updated rates.</w:t>
            </w:r>
          </w:p>
          <w:p w14:paraId="34205776" w14:textId="77777777" w:rsidR="00232600" w:rsidRDefault="00232600" w:rsidP="00B237B7">
            <w:pPr>
              <w:tabs>
                <w:tab w:val="center" w:pos="4320"/>
                <w:tab w:val="right" w:pos="8640"/>
              </w:tabs>
              <w:spacing w:after="240"/>
              <w:rPr>
                <w:rFonts w:ascii="Calibri" w:hAnsi="Calibri" w:cs="Calibri"/>
              </w:rPr>
            </w:pPr>
          </w:p>
          <w:p w14:paraId="57C80E93" w14:textId="77777777" w:rsidR="00232600" w:rsidRDefault="00232600" w:rsidP="00B237B7">
            <w:pPr>
              <w:tabs>
                <w:tab w:val="center" w:pos="4320"/>
                <w:tab w:val="right" w:pos="8640"/>
              </w:tabs>
              <w:spacing w:after="240"/>
              <w:rPr>
                <w:rFonts w:ascii="Calibri" w:hAnsi="Calibri" w:cs="Calibri"/>
              </w:rPr>
            </w:pPr>
          </w:p>
          <w:p w14:paraId="30E40CE6" w14:textId="77777777" w:rsidR="00232600" w:rsidRDefault="00232600" w:rsidP="00B237B7">
            <w:pPr>
              <w:tabs>
                <w:tab w:val="center" w:pos="4320"/>
                <w:tab w:val="right" w:pos="8640"/>
              </w:tabs>
              <w:spacing w:after="240"/>
              <w:rPr>
                <w:rFonts w:ascii="Calibri" w:hAnsi="Calibri" w:cs="Calibri"/>
              </w:rPr>
            </w:pPr>
          </w:p>
          <w:p w14:paraId="37CF91D2" w14:textId="77777777" w:rsidR="00232600" w:rsidRDefault="00232600" w:rsidP="00B237B7">
            <w:pPr>
              <w:tabs>
                <w:tab w:val="center" w:pos="4320"/>
                <w:tab w:val="right" w:pos="8640"/>
              </w:tabs>
              <w:spacing w:after="240"/>
              <w:rPr>
                <w:rFonts w:ascii="Calibri" w:hAnsi="Calibri" w:cs="Calibri"/>
              </w:rPr>
            </w:pPr>
          </w:p>
          <w:p w14:paraId="3119FCF5" w14:textId="77777777" w:rsidR="00232600" w:rsidRDefault="00232600" w:rsidP="00B237B7">
            <w:pPr>
              <w:tabs>
                <w:tab w:val="center" w:pos="4320"/>
                <w:tab w:val="right" w:pos="8640"/>
              </w:tabs>
              <w:spacing w:after="240"/>
              <w:rPr>
                <w:rFonts w:ascii="Calibri" w:hAnsi="Calibri" w:cs="Calibri"/>
              </w:rPr>
            </w:pPr>
          </w:p>
          <w:p w14:paraId="4D0A0A69" w14:textId="77777777" w:rsidR="00232600" w:rsidRDefault="00232600" w:rsidP="00B237B7">
            <w:pPr>
              <w:tabs>
                <w:tab w:val="center" w:pos="4320"/>
                <w:tab w:val="right" w:pos="8640"/>
              </w:tabs>
              <w:spacing w:after="240"/>
              <w:rPr>
                <w:rFonts w:ascii="Calibri" w:hAnsi="Calibri" w:cs="Calibri"/>
              </w:rPr>
            </w:pPr>
          </w:p>
          <w:p w14:paraId="196E73C7" w14:textId="77777777" w:rsidR="005F0ED3" w:rsidRDefault="005F0ED3" w:rsidP="00B237B7">
            <w:pPr>
              <w:tabs>
                <w:tab w:val="center" w:pos="4320"/>
                <w:tab w:val="right" w:pos="8640"/>
              </w:tabs>
              <w:spacing w:after="240"/>
              <w:rPr>
                <w:rFonts w:ascii="Calibri" w:hAnsi="Calibri" w:cs="Calibri"/>
              </w:rPr>
            </w:pPr>
          </w:p>
          <w:p w14:paraId="153E3BF5" w14:textId="77777777" w:rsidR="00232600" w:rsidRDefault="00232600" w:rsidP="00B237B7">
            <w:pPr>
              <w:tabs>
                <w:tab w:val="center" w:pos="4320"/>
                <w:tab w:val="right" w:pos="8640"/>
              </w:tabs>
              <w:spacing w:after="240"/>
              <w:rPr>
                <w:rFonts w:ascii="Calibri" w:hAnsi="Calibri" w:cs="Calibri"/>
              </w:rPr>
            </w:pPr>
          </w:p>
          <w:p w14:paraId="202D4818" w14:textId="77777777" w:rsidR="009E1EB7" w:rsidRDefault="009E1EB7" w:rsidP="00B237B7">
            <w:pPr>
              <w:tabs>
                <w:tab w:val="center" w:pos="4320"/>
                <w:tab w:val="right" w:pos="8640"/>
              </w:tabs>
              <w:spacing w:after="240"/>
              <w:rPr>
                <w:rFonts w:ascii="Calibri" w:hAnsi="Calibri" w:cs="Calibri"/>
              </w:rPr>
            </w:pPr>
          </w:p>
          <w:p w14:paraId="04338F06" w14:textId="77777777" w:rsidR="009E1EB7" w:rsidRDefault="009E1EB7" w:rsidP="00B237B7">
            <w:pPr>
              <w:tabs>
                <w:tab w:val="center" w:pos="4320"/>
                <w:tab w:val="right" w:pos="8640"/>
              </w:tabs>
              <w:spacing w:after="240"/>
              <w:rPr>
                <w:rFonts w:ascii="Calibri" w:hAnsi="Calibri" w:cs="Calibri"/>
              </w:rPr>
            </w:pPr>
          </w:p>
          <w:p w14:paraId="49028589" w14:textId="77777777" w:rsidR="009E1EB7" w:rsidRDefault="009E1EB7" w:rsidP="00B237B7">
            <w:pPr>
              <w:tabs>
                <w:tab w:val="center" w:pos="4320"/>
                <w:tab w:val="right" w:pos="8640"/>
              </w:tabs>
              <w:spacing w:after="240"/>
              <w:rPr>
                <w:rFonts w:ascii="Calibri" w:hAnsi="Calibri" w:cs="Calibri"/>
              </w:rPr>
            </w:pPr>
          </w:p>
          <w:p w14:paraId="00C9C6FE" w14:textId="77777777" w:rsidR="009E1EB7" w:rsidRDefault="009E1EB7" w:rsidP="00B237B7">
            <w:pPr>
              <w:tabs>
                <w:tab w:val="center" w:pos="4320"/>
                <w:tab w:val="right" w:pos="8640"/>
              </w:tabs>
              <w:spacing w:after="240"/>
              <w:rPr>
                <w:rFonts w:ascii="Calibri" w:hAnsi="Calibri" w:cs="Calibri"/>
              </w:rPr>
            </w:pPr>
          </w:p>
          <w:p w14:paraId="57E3B92A" w14:textId="77777777" w:rsidR="009E1EB7" w:rsidRDefault="009E1EB7" w:rsidP="00B237B7">
            <w:pPr>
              <w:tabs>
                <w:tab w:val="center" w:pos="4320"/>
                <w:tab w:val="right" w:pos="8640"/>
              </w:tabs>
              <w:spacing w:after="240"/>
              <w:rPr>
                <w:rFonts w:ascii="Calibri" w:hAnsi="Calibri" w:cs="Calibri"/>
              </w:rPr>
            </w:pPr>
          </w:p>
          <w:p w14:paraId="0F8EE95E" w14:textId="77777777" w:rsidR="00232600" w:rsidRDefault="00232600" w:rsidP="00B237B7">
            <w:pPr>
              <w:tabs>
                <w:tab w:val="center" w:pos="4320"/>
                <w:tab w:val="right" w:pos="8640"/>
              </w:tabs>
              <w:spacing w:after="240"/>
              <w:rPr>
                <w:rFonts w:ascii="Calibri" w:hAnsi="Calibri" w:cs="Calibri"/>
              </w:rPr>
            </w:pPr>
          </w:p>
          <w:p w14:paraId="634C4BE9" w14:textId="77777777" w:rsidR="00232600" w:rsidRDefault="00232600" w:rsidP="00B237B7">
            <w:pPr>
              <w:tabs>
                <w:tab w:val="center" w:pos="4320"/>
                <w:tab w:val="right" w:pos="8640"/>
              </w:tabs>
              <w:spacing w:after="240"/>
              <w:rPr>
                <w:rFonts w:ascii="Calibri" w:hAnsi="Calibri" w:cs="Calibri"/>
              </w:rPr>
            </w:pPr>
            <w:r w:rsidRPr="00232600">
              <w:rPr>
                <w:rFonts w:ascii="Calibri" w:hAnsi="Calibri" w:cs="Calibri"/>
              </w:rPr>
              <w:t>AA.1.0.</w:t>
            </w:r>
            <w:r>
              <w:rPr>
                <w:rFonts w:ascii="Calibri" w:hAnsi="Calibri" w:cs="Calibri"/>
              </w:rPr>
              <w:t xml:space="preserve"> CONTINUED</w:t>
            </w:r>
            <w:r w:rsidRPr="00232600">
              <w:rPr>
                <w:rFonts w:ascii="Calibri" w:hAnsi="Calibri" w:cs="Calibri"/>
              </w:rPr>
              <w:t xml:space="preserve">  The contract must specify the payment rates and any risk-sharing mechanisms and the actuarial basis for computation of those rates and mechanisms. Includes: the rates and time period; the risk-sharing; the actuarial basis. Specify new or updated rates.</w:t>
            </w:r>
          </w:p>
          <w:p w14:paraId="0109116D" w14:textId="77777777" w:rsidR="00232600" w:rsidRDefault="00232600" w:rsidP="00B237B7">
            <w:pPr>
              <w:tabs>
                <w:tab w:val="center" w:pos="4320"/>
                <w:tab w:val="right" w:pos="8640"/>
              </w:tabs>
              <w:spacing w:after="240"/>
              <w:rPr>
                <w:rFonts w:ascii="Calibri" w:hAnsi="Calibri" w:cs="Calibri"/>
              </w:rPr>
            </w:pPr>
          </w:p>
          <w:p w14:paraId="53EE25AA" w14:textId="77777777" w:rsidR="00232600" w:rsidRDefault="00232600" w:rsidP="00B237B7">
            <w:pPr>
              <w:tabs>
                <w:tab w:val="center" w:pos="4320"/>
                <w:tab w:val="right" w:pos="8640"/>
              </w:tabs>
              <w:spacing w:after="240"/>
              <w:rPr>
                <w:rFonts w:ascii="Calibri" w:hAnsi="Calibri" w:cs="Calibri"/>
              </w:rPr>
            </w:pPr>
          </w:p>
          <w:p w14:paraId="7227C4E5" w14:textId="77777777" w:rsidR="00232600" w:rsidRDefault="00232600" w:rsidP="00B237B7">
            <w:pPr>
              <w:tabs>
                <w:tab w:val="center" w:pos="4320"/>
                <w:tab w:val="right" w:pos="8640"/>
              </w:tabs>
              <w:spacing w:after="240"/>
              <w:rPr>
                <w:rFonts w:ascii="Calibri" w:hAnsi="Calibri" w:cs="Calibri"/>
              </w:rPr>
            </w:pPr>
          </w:p>
          <w:p w14:paraId="7AB97E33" w14:textId="77777777" w:rsidR="00232600" w:rsidRDefault="00232600" w:rsidP="00B237B7">
            <w:pPr>
              <w:tabs>
                <w:tab w:val="center" w:pos="4320"/>
                <w:tab w:val="right" w:pos="8640"/>
              </w:tabs>
              <w:spacing w:after="240"/>
              <w:rPr>
                <w:rFonts w:ascii="Calibri" w:hAnsi="Calibri" w:cs="Calibri"/>
              </w:rPr>
            </w:pPr>
          </w:p>
          <w:p w14:paraId="392B51DB" w14:textId="77777777" w:rsidR="00232600" w:rsidRDefault="00232600" w:rsidP="00B237B7">
            <w:pPr>
              <w:tabs>
                <w:tab w:val="center" w:pos="4320"/>
                <w:tab w:val="right" w:pos="8640"/>
              </w:tabs>
              <w:spacing w:after="240"/>
              <w:rPr>
                <w:rFonts w:ascii="Calibri" w:hAnsi="Calibri" w:cs="Calibri"/>
              </w:rPr>
            </w:pPr>
          </w:p>
          <w:p w14:paraId="4DF0049E" w14:textId="77777777" w:rsidR="00232600" w:rsidRDefault="00232600" w:rsidP="00B237B7">
            <w:pPr>
              <w:tabs>
                <w:tab w:val="center" w:pos="4320"/>
                <w:tab w:val="right" w:pos="8640"/>
              </w:tabs>
              <w:spacing w:after="240"/>
              <w:rPr>
                <w:rFonts w:ascii="Calibri" w:hAnsi="Calibri" w:cs="Calibri"/>
              </w:rPr>
            </w:pPr>
          </w:p>
          <w:p w14:paraId="0BEDF4DF" w14:textId="77777777" w:rsidR="00232600" w:rsidRDefault="00232600" w:rsidP="00B237B7">
            <w:pPr>
              <w:tabs>
                <w:tab w:val="center" w:pos="4320"/>
                <w:tab w:val="right" w:pos="8640"/>
              </w:tabs>
              <w:spacing w:after="240"/>
              <w:rPr>
                <w:rFonts w:ascii="Calibri" w:hAnsi="Calibri" w:cs="Calibri"/>
              </w:rPr>
            </w:pPr>
          </w:p>
          <w:p w14:paraId="42D7CFD3" w14:textId="77777777" w:rsidR="00232600" w:rsidRDefault="00232600" w:rsidP="00B237B7">
            <w:pPr>
              <w:tabs>
                <w:tab w:val="center" w:pos="4320"/>
                <w:tab w:val="right" w:pos="8640"/>
              </w:tabs>
              <w:spacing w:after="240"/>
              <w:rPr>
                <w:rFonts w:ascii="Calibri" w:hAnsi="Calibri" w:cs="Calibri"/>
              </w:rPr>
            </w:pPr>
          </w:p>
          <w:p w14:paraId="6C4CB00F" w14:textId="77777777" w:rsidR="00232600" w:rsidRDefault="00232600" w:rsidP="00B237B7">
            <w:pPr>
              <w:tabs>
                <w:tab w:val="center" w:pos="4320"/>
                <w:tab w:val="right" w:pos="8640"/>
              </w:tabs>
              <w:spacing w:after="240"/>
              <w:rPr>
                <w:rFonts w:ascii="Calibri" w:hAnsi="Calibri" w:cs="Calibri"/>
              </w:rPr>
            </w:pPr>
          </w:p>
          <w:p w14:paraId="550B2A8E" w14:textId="77777777" w:rsidR="00232600" w:rsidRDefault="00232600" w:rsidP="00B237B7">
            <w:pPr>
              <w:tabs>
                <w:tab w:val="center" w:pos="4320"/>
                <w:tab w:val="right" w:pos="8640"/>
              </w:tabs>
              <w:spacing w:after="240"/>
              <w:rPr>
                <w:rFonts w:ascii="Calibri" w:hAnsi="Calibri" w:cs="Calibri"/>
              </w:rPr>
            </w:pPr>
          </w:p>
          <w:p w14:paraId="286C7436" w14:textId="77777777" w:rsidR="00232600" w:rsidRDefault="00232600" w:rsidP="00B237B7">
            <w:pPr>
              <w:tabs>
                <w:tab w:val="center" w:pos="4320"/>
                <w:tab w:val="right" w:pos="8640"/>
              </w:tabs>
              <w:spacing w:after="240"/>
              <w:rPr>
                <w:rFonts w:ascii="Calibri" w:hAnsi="Calibri" w:cs="Calibri"/>
              </w:rPr>
            </w:pPr>
          </w:p>
          <w:p w14:paraId="63B3014C" w14:textId="77777777" w:rsidR="00232600" w:rsidRDefault="00232600" w:rsidP="00B237B7">
            <w:pPr>
              <w:tabs>
                <w:tab w:val="center" w:pos="4320"/>
                <w:tab w:val="right" w:pos="8640"/>
              </w:tabs>
              <w:spacing w:after="240"/>
              <w:rPr>
                <w:rFonts w:ascii="Calibri" w:hAnsi="Calibri" w:cs="Calibri"/>
              </w:rPr>
            </w:pPr>
          </w:p>
          <w:p w14:paraId="6545BDF6" w14:textId="77777777" w:rsidR="00232600" w:rsidRDefault="00232600" w:rsidP="00B237B7">
            <w:pPr>
              <w:tabs>
                <w:tab w:val="center" w:pos="4320"/>
                <w:tab w:val="right" w:pos="8640"/>
              </w:tabs>
              <w:spacing w:after="240"/>
              <w:rPr>
                <w:rFonts w:ascii="Calibri" w:hAnsi="Calibri" w:cs="Calibri"/>
              </w:rPr>
            </w:pPr>
          </w:p>
          <w:p w14:paraId="3F958226" w14:textId="77777777" w:rsidR="00232600" w:rsidRDefault="00232600" w:rsidP="00B237B7">
            <w:pPr>
              <w:tabs>
                <w:tab w:val="center" w:pos="4320"/>
                <w:tab w:val="right" w:pos="8640"/>
              </w:tabs>
              <w:spacing w:after="240"/>
              <w:rPr>
                <w:rFonts w:ascii="Calibri" w:hAnsi="Calibri" w:cs="Calibri"/>
              </w:rPr>
            </w:pPr>
          </w:p>
          <w:p w14:paraId="65AEC857" w14:textId="77777777" w:rsidR="00232600" w:rsidRDefault="00232600" w:rsidP="00B237B7">
            <w:pPr>
              <w:tabs>
                <w:tab w:val="center" w:pos="4320"/>
                <w:tab w:val="right" w:pos="8640"/>
              </w:tabs>
              <w:spacing w:after="240"/>
              <w:rPr>
                <w:rFonts w:ascii="Calibri" w:hAnsi="Calibri" w:cs="Calibri"/>
              </w:rPr>
            </w:pPr>
          </w:p>
          <w:p w14:paraId="7D4897F4" w14:textId="77777777" w:rsidR="00232600" w:rsidRDefault="00232600" w:rsidP="00B237B7">
            <w:pPr>
              <w:tabs>
                <w:tab w:val="center" w:pos="4320"/>
                <w:tab w:val="right" w:pos="8640"/>
              </w:tabs>
              <w:spacing w:after="240"/>
              <w:rPr>
                <w:rFonts w:ascii="Calibri" w:hAnsi="Calibri" w:cs="Calibri"/>
              </w:rPr>
            </w:pPr>
          </w:p>
          <w:p w14:paraId="7FB8D276" w14:textId="77777777" w:rsidR="00A25511" w:rsidRDefault="00A25511" w:rsidP="00B237B7">
            <w:pPr>
              <w:tabs>
                <w:tab w:val="center" w:pos="4320"/>
                <w:tab w:val="right" w:pos="8640"/>
              </w:tabs>
              <w:spacing w:after="240"/>
              <w:rPr>
                <w:rFonts w:ascii="Calibri" w:hAnsi="Calibri" w:cs="Calibri"/>
              </w:rPr>
            </w:pPr>
          </w:p>
          <w:p w14:paraId="706EFB9D" w14:textId="77777777" w:rsidR="00A25511" w:rsidRDefault="00A25511" w:rsidP="00B237B7">
            <w:pPr>
              <w:tabs>
                <w:tab w:val="center" w:pos="4320"/>
                <w:tab w:val="right" w:pos="8640"/>
              </w:tabs>
              <w:spacing w:after="240"/>
              <w:rPr>
                <w:rFonts w:ascii="Calibri" w:hAnsi="Calibri" w:cs="Calibri"/>
              </w:rPr>
            </w:pPr>
          </w:p>
          <w:p w14:paraId="634A368F" w14:textId="77777777" w:rsidR="00232600" w:rsidRDefault="00232600" w:rsidP="00B237B7">
            <w:pPr>
              <w:tabs>
                <w:tab w:val="center" w:pos="4320"/>
                <w:tab w:val="right" w:pos="8640"/>
              </w:tabs>
              <w:spacing w:after="240"/>
              <w:rPr>
                <w:rFonts w:ascii="Calibri" w:hAnsi="Calibri" w:cs="Calibri"/>
              </w:rPr>
            </w:pPr>
          </w:p>
          <w:p w14:paraId="20394A0D" w14:textId="0E053F41" w:rsidR="00232600" w:rsidRPr="00B237B7" w:rsidRDefault="00232600" w:rsidP="009E1EB7">
            <w:pPr>
              <w:tabs>
                <w:tab w:val="center" w:pos="4320"/>
                <w:tab w:val="right" w:pos="8640"/>
              </w:tabs>
              <w:spacing w:after="240"/>
              <w:rPr>
                <w:rFonts w:ascii="Calibri" w:hAnsi="Calibri" w:cs="Calibri"/>
              </w:rPr>
            </w:pPr>
            <w:r w:rsidRPr="00232600">
              <w:rPr>
                <w:rFonts w:ascii="Calibri" w:hAnsi="Calibri" w:cs="Calibri"/>
              </w:rPr>
              <w:t>AA.1.0. CONTINUED  The contract must specify the payment rates and any risk-sharing mechanisms and the actuarial basis for computation of those rates and mechanisms. Includes: the rates and time period; the risk-sharing; the actuarial basis. Specify new or updated rates.</w:t>
            </w:r>
          </w:p>
        </w:tc>
        <w:tc>
          <w:tcPr>
            <w:tcW w:w="7337" w:type="dxa"/>
            <w:shd w:val="clear" w:color="auto" w:fill="auto"/>
          </w:tcPr>
          <w:p w14:paraId="50DAA33F" w14:textId="77777777" w:rsidR="0080066A" w:rsidRDefault="0080066A" w:rsidP="00B237B7">
            <w:pPr>
              <w:shd w:val="clear" w:color="auto" w:fill="FFFFFF"/>
              <w:tabs>
                <w:tab w:val="left" w:pos="1462"/>
                <w:tab w:val="center" w:pos="4320"/>
                <w:tab w:val="right" w:pos="8640"/>
              </w:tabs>
              <w:spacing w:after="240"/>
            </w:pPr>
            <w:r w:rsidRPr="00B237B7">
              <w:rPr>
                <w:b/>
                <w:bCs/>
                <w:color w:val="000000"/>
                <w:sz w:val="24"/>
                <w:szCs w:val="24"/>
              </w:rPr>
              <w:lastRenderedPageBreak/>
              <w:t xml:space="preserve">Overview of Senior Products rate setting methodology (MSC+ and </w:t>
            </w:r>
            <w:r w:rsidRPr="00B237B7">
              <w:rPr>
                <w:b/>
                <w:bCs/>
                <w:color w:val="000000"/>
                <w:spacing w:val="-3"/>
                <w:sz w:val="24"/>
                <w:szCs w:val="24"/>
              </w:rPr>
              <w:t>MSHO</w:t>
            </w:r>
            <w:r w:rsidR="0037093F">
              <w:rPr>
                <w:b/>
                <w:bCs/>
                <w:color w:val="000000"/>
                <w:spacing w:val="-3"/>
                <w:sz w:val="24"/>
                <w:szCs w:val="24"/>
              </w:rPr>
              <w:t>, or “Seniors” Contract</w:t>
            </w:r>
            <w:r w:rsidRPr="00B237B7">
              <w:rPr>
                <w:b/>
                <w:bCs/>
                <w:color w:val="000000"/>
                <w:spacing w:val="-3"/>
                <w:sz w:val="24"/>
                <w:szCs w:val="24"/>
              </w:rPr>
              <w:t>)</w:t>
            </w:r>
          </w:p>
          <w:p w14:paraId="6EB58F83" w14:textId="1067DA01" w:rsidR="0037093F" w:rsidRDefault="0037093F" w:rsidP="00B237B7">
            <w:pPr>
              <w:shd w:val="clear" w:color="auto" w:fill="FFFFFF"/>
              <w:tabs>
                <w:tab w:val="center" w:pos="4320"/>
                <w:tab w:val="right" w:pos="8640"/>
              </w:tabs>
              <w:spacing w:after="240"/>
              <w:rPr>
                <w:color w:val="000000"/>
                <w:sz w:val="24"/>
                <w:szCs w:val="24"/>
              </w:rPr>
            </w:pPr>
            <w:r>
              <w:rPr>
                <w:color w:val="000000"/>
                <w:sz w:val="24"/>
                <w:szCs w:val="24"/>
              </w:rPr>
              <w:t xml:space="preserve">This checklist submission addresses only the Medicaid payments made under MSHO and MSC+.  Medicaid contract requirements for MSC+ and MSHO are combined under one contract (“Seniors”) with each SNP/MCO.  The rate methodology and rate base for Medicaid services are the same for MSHO and MSC+.  </w:t>
            </w:r>
          </w:p>
          <w:p w14:paraId="464F7672" w14:textId="7B230731" w:rsidR="0080066A" w:rsidRDefault="0080066A" w:rsidP="00B237B7">
            <w:pPr>
              <w:shd w:val="clear" w:color="auto" w:fill="FFFFFF"/>
              <w:tabs>
                <w:tab w:val="center" w:pos="4320"/>
                <w:tab w:val="right" w:pos="8640"/>
              </w:tabs>
              <w:spacing w:after="240"/>
            </w:pPr>
            <w:r w:rsidRPr="00B237B7">
              <w:rPr>
                <w:color w:val="000000"/>
                <w:sz w:val="24"/>
                <w:szCs w:val="24"/>
              </w:rPr>
              <w:t xml:space="preserve">The </w:t>
            </w:r>
            <w:r w:rsidRPr="00B237B7">
              <w:rPr>
                <w:color w:val="000000"/>
                <w:spacing w:val="-1"/>
                <w:sz w:val="24"/>
                <w:szCs w:val="24"/>
              </w:rPr>
              <w:t xml:space="preserve">rates for Seniors products consist of three main components, each of which is developed independently.  </w:t>
            </w:r>
          </w:p>
          <w:p w14:paraId="717FD5F1" w14:textId="77777777" w:rsidR="0080066A" w:rsidRPr="00B237B7" w:rsidRDefault="0080066A" w:rsidP="00B237B7">
            <w:pPr>
              <w:shd w:val="clear" w:color="auto" w:fill="FFFFFF"/>
              <w:tabs>
                <w:tab w:val="center" w:pos="4320"/>
                <w:tab w:val="right" w:pos="8640"/>
              </w:tabs>
              <w:spacing w:after="240"/>
              <w:rPr>
                <w:color w:val="000000"/>
                <w:sz w:val="24"/>
                <w:szCs w:val="24"/>
                <w:u w:val="single"/>
              </w:rPr>
            </w:pPr>
            <w:r w:rsidRPr="00B237B7">
              <w:rPr>
                <w:color w:val="000000"/>
                <w:sz w:val="24"/>
                <w:szCs w:val="24"/>
                <w:u w:val="single"/>
              </w:rPr>
              <w:t xml:space="preserve">(1) Basic Care Component: </w:t>
            </w:r>
          </w:p>
          <w:p w14:paraId="3D5C55FC" w14:textId="79661091" w:rsidR="005F0ED3" w:rsidRDefault="0080066A"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This component pays for the State Plan services included in MCO contracts, excluding nursing facility (NF) </w:t>
            </w:r>
            <w:r w:rsidR="00D12483">
              <w:rPr>
                <w:color w:val="000000"/>
                <w:sz w:val="24"/>
                <w:szCs w:val="24"/>
              </w:rPr>
              <w:t xml:space="preserve">and Elderly Waiver </w:t>
            </w:r>
            <w:r w:rsidRPr="00B237B7">
              <w:rPr>
                <w:color w:val="000000"/>
                <w:sz w:val="24"/>
                <w:szCs w:val="24"/>
              </w:rPr>
              <w:t>services.  The methodology for MSHO and MSC+ is the same.  The basic care component is paid for both institutional and community members.  Adjustments are made for institutional and non-institutional status, Medicare status, age and geographic region.  For</w:t>
            </w:r>
            <w:r w:rsidR="00492426">
              <w:t xml:space="preserve"> </w:t>
            </w:r>
            <w:r w:rsidR="00492426" w:rsidRPr="00492426">
              <w:rPr>
                <w:color w:val="000000"/>
                <w:sz w:val="24"/>
                <w:szCs w:val="24"/>
              </w:rPr>
              <w:t>the upcoming year</w:t>
            </w:r>
            <w:r w:rsidRPr="00B237B7">
              <w:rPr>
                <w:color w:val="000000"/>
                <w:sz w:val="24"/>
                <w:szCs w:val="24"/>
              </w:rPr>
              <w:t xml:space="preserve">, new rates were developed for the basic care component as described in </w:t>
            </w:r>
            <w:r w:rsidR="002D3BF0">
              <w:rPr>
                <w:color w:val="000000"/>
                <w:sz w:val="24"/>
                <w:szCs w:val="24"/>
              </w:rPr>
              <w:t>Attachment A</w:t>
            </w:r>
            <w:r w:rsidR="003D43C2">
              <w:rPr>
                <w:color w:val="000000"/>
                <w:sz w:val="24"/>
                <w:szCs w:val="24"/>
              </w:rPr>
              <w:t xml:space="preserve">, Section </w:t>
            </w:r>
            <w:r w:rsidR="00F86A7F">
              <w:rPr>
                <w:color w:val="000000"/>
                <w:sz w:val="24"/>
                <w:szCs w:val="24"/>
              </w:rPr>
              <w:t>II</w:t>
            </w:r>
            <w:r w:rsidRPr="007103EB">
              <w:rPr>
                <w:color w:val="000000"/>
                <w:sz w:val="24"/>
                <w:szCs w:val="24"/>
              </w:rPr>
              <w:t>.</w:t>
            </w:r>
            <w:r w:rsidRPr="00B237B7">
              <w:rPr>
                <w:color w:val="000000"/>
                <w:sz w:val="24"/>
                <w:szCs w:val="24"/>
              </w:rPr>
              <w:t xml:space="preserve">  </w:t>
            </w:r>
          </w:p>
          <w:p w14:paraId="2E1CAD61" w14:textId="77777777" w:rsidR="003D43C2" w:rsidRPr="00B237B7" w:rsidRDefault="003D43C2" w:rsidP="003D43C2">
            <w:pPr>
              <w:tabs>
                <w:tab w:val="center" w:pos="4320"/>
                <w:tab w:val="right" w:pos="8640"/>
              </w:tabs>
              <w:spacing w:after="240"/>
              <w:rPr>
                <w:color w:val="000000"/>
                <w:sz w:val="24"/>
                <w:szCs w:val="24"/>
                <w:u w:val="single"/>
              </w:rPr>
            </w:pPr>
            <w:r w:rsidRPr="00B237B7">
              <w:rPr>
                <w:color w:val="000000"/>
                <w:spacing w:val="-5"/>
                <w:sz w:val="24"/>
                <w:szCs w:val="24"/>
                <w:u w:val="single"/>
              </w:rPr>
              <w:t>(</w:t>
            </w:r>
            <w:r>
              <w:rPr>
                <w:color w:val="000000"/>
                <w:spacing w:val="-5"/>
                <w:sz w:val="24"/>
                <w:szCs w:val="24"/>
                <w:u w:val="single"/>
              </w:rPr>
              <w:t>2</w:t>
            </w:r>
            <w:r w:rsidRPr="00B237B7">
              <w:rPr>
                <w:color w:val="000000"/>
                <w:spacing w:val="-5"/>
                <w:sz w:val="24"/>
                <w:szCs w:val="24"/>
                <w:u w:val="single"/>
              </w:rPr>
              <w:t>)</w:t>
            </w:r>
            <w:r w:rsidRPr="00B237B7">
              <w:rPr>
                <w:color w:val="000000"/>
                <w:sz w:val="24"/>
                <w:szCs w:val="24"/>
                <w:u w:val="single"/>
              </w:rPr>
              <w:t xml:space="preserve">  Elderly Waiver (EW) </w:t>
            </w:r>
            <w:r>
              <w:rPr>
                <w:color w:val="000000"/>
                <w:sz w:val="24"/>
                <w:szCs w:val="24"/>
                <w:u w:val="single"/>
              </w:rPr>
              <w:t>Add-On</w:t>
            </w:r>
            <w:r w:rsidRPr="00B237B7">
              <w:rPr>
                <w:color w:val="000000"/>
                <w:sz w:val="24"/>
                <w:szCs w:val="24"/>
                <w:u w:val="single"/>
              </w:rPr>
              <w:t xml:space="preserve">: </w:t>
            </w:r>
          </w:p>
          <w:p w14:paraId="1D341D22" w14:textId="62CA2E43" w:rsidR="007656E6" w:rsidRPr="00D67434" w:rsidRDefault="003D43C2" w:rsidP="00D67434">
            <w:pPr>
              <w:tabs>
                <w:tab w:val="center" w:pos="4320"/>
                <w:tab w:val="right" w:pos="8640"/>
              </w:tabs>
              <w:spacing w:after="240"/>
              <w:rPr>
                <w:color w:val="000000"/>
                <w:sz w:val="24"/>
                <w:szCs w:val="24"/>
              </w:rPr>
            </w:pPr>
            <w:r w:rsidRPr="00B237B7">
              <w:rPr>
                <w:color w:val="000000"/>
                <w:sz w:val="24"/>
                <w:szCs w:val="24"/>
              </w:rPr>
              <w:t xml:space="preserve">The EW </w:t>
            </w:r>
            <w:r>
              <w:rPr>
                <w:color w:val="000000"/>
                <w:sz w:val="24"/>
                <w:szCs w:val="24"/>
              </w:rPr>
              <w:t>Add-On</w:t>
            </w:r>
            <w:r w:rsidRPr="00B237B7">
              <w:rPr>
                <w:color w:val="000000"/>
                <w:sz w:val="24"/>
                <w:szCs w:val="24"/>
              </w:rPr>
              <w:t xml:space="preserve"> methodology is the same for both MSC+ and MSHO.  It is paid only for enrollees who have been </w:t>
            </w:r>
            <w:r w:rsidR="00E21725">
              <w:rPr>
                <w:color w:val="000000"/>
                <w:sz w:val="24"/>
                <w:szCs w:val="24"/>
              </w:rPr>
              <w:t xml:space="preserve">enrolled in </w:t>
            </w:r>
            <w:r w:rsidRPr="00B237B7">
              <w:rPr>
                <w:color w:val="000000"/>
                <w:sz w:val="24"/>
                <w:szCs w:val="24"/>
              </w:rPr>
              <w:t xml:space="preserve">EW under </w:t>
            </w:r>
            <w:r w:rsidRPr="00B237B7">
              <w:rPr>
                <w:color w:val="000000"/>
                <w:spacing w:val="-1"/>
                <w:sz w:val="24"/>
                <w:szCs w:val="24"/>
              </w:rPr>
              <w:t xml:space="preserve">1915(c) waiver authority.  The EW </w:t>
            </w:r>
            <w:r>
              <w:rPr>
                <w:color w:val="000000"/>
                <w:spacing w:val="-1"/>
                <w:sz w:val="24"/>
                <w:szCs w:val="24"/>
              </w:rPr>
              <w:t>Add-On</w:t>
            </w:r>
            <w:r w:rsidRPr="00B237B7">
              <w:rPr>
                <w:color w:val="000000"/>
                <w:spacing w:val="-1"/>
                <w:sz w:val="24"/>
                <w:szCs w:val="24"/>
              </w:rPr>
              <w:t xml:space="preserve"> was updated for </w:t>
            </w:r>
            <w:r w:rsidR="00492426" w:rsidRPr="00492426">
              <w:rPr>
                <w:color w:val="000000"/>
                <w:spacing w:val="-1"/>
                <w:sz w:val="24"/>
                <w:szCs w:val="24"/>
              </w:rPr>
              <w:t xml:space="preserve">the upcoming year </w:t>
            </w:r>
            <w:r w:rsidRPr="00B237B7">
              <w:rPr>
                <w:color w:val="000000"/>
                <w:spacing w:val="-1"/>
                <w:sz w:val="24"/>
                <w:szCs w:val="24"/>
              </w:rPr>
              <w:t xml:space="preserve">as described in </w:t>
            </w:r>
            <w:r w:rsidR="002D3BF0" w:rsidRPr="002D3BF0">
              <w:rPr>
                <w:color w:val="000000"/>
                <w:spacing w:val="-1"/>
                <w:sz w:val="24"/>
                <w:szCs w:val="24"/>
              </w:rPr>
              <w:t>Attachment A</w:t>
            </w:r>
            <w:r>
              <w:rPr>
                <w:color w:val="000000"/>
                <w:spacing w:val="-1"/>
                <w:sz w:val="24"/>
                <w:szCs w:val="24"/>
              </w:rPr>
              <w:t xml:space="preserve">, Section </w:t>
            </w:r>
            <w:r w:rsidR="00F86A7F">
              <w:rPr>
                <w:color w:val="000000"/>
                <w:spacing w:val="-1"/>
                <w:sz w:val="24"/>
                <w:szCs w:val="24"/>
              </w:rPr>
              <w:t>III</w:t>
            </w:r>
            <w:r w:rsidR="007656E6">
              <w:rPr>
                <w:color w:val="000000"/>
                <w:spacing w:val="-1"/>
                <w:sz w:val="24"/>
                <w:szCs w:val="24"/>
              </w:rPr>
              <w:t>.</w:t>
            </w:r>
          </w:p>
          <w:p w14:paraId="734E7259" w14:textId="77777777" w:rsidR="0080066A" w:rsidRPr="00B237B7" w:rsidRDefault="0080066A" w:rsidP="00B237B7">
            <w:pPr>
              <w:shd w:val="clear" w:color="auto" w:fill="FFFFFF"/>
              <w:tabs>
                <w:tab w:val="left" w:pos="331"/>
                <w:tab w:val="center" w:pos="4320"/>
                <w:tab w:val="right" w:pos="8640"/>
              </w:tabs>
              <w:spacing w:after="240"/>
              <w:rPr>
                <w:color w:val="000000"/>
                <w:sz w:val="24"/>
                <w:szCs w:val="24"/>
                <w:u w:val="single"/>
              </w:rPr>
            </w:pPr>
            <w:r w:rsidRPr="00B237B7">
              <w:rPr>
                <w:color w:val="000000"/>
                <w:spacing w:val="-5"/>
                <w:sz w:val="24"/>
                <w:szCs w:val="24"/>
                <w:u w:val="single"/>
              </w:rPr>
              <w:t>(</w:t>
            </w:r>
            <w:r w:rsidR="003D43C2">
              <w:rPr>
                <w:color w:val="000000"/>
                <w:spacing w:val="-5"/>
                <w:sz w:val="24"/>
                <w:szCs w:val="24"/>
                <w:u w:val="single"/>
              </w:rPr>
              <w:t>3</w:t>
            </w:r>
            <w:r w:rsidRPr="00B237B7">
              <w:rPr>
                <w:color w:val="000000"/>
                <w:spacing w:val="-5"/>
                <w:sz w:val="24"/>
                <w:szCs w:val="24"/>
                <w:u w:val="single"/>
              </w:rPr>
              <w:t>)</w:t>
            </w:r>
            <w:r w:rsidRPr="00B237B7">
              <w:rPr>
                <w:color w:val="000000"/>
                <w:sz w:val="24"/>
                <w:szCs w:val="24"/>
                <w:u w:val="single"/>
              </w:rPr>
              <w:t xml:space="preserve"> Nursing Facility (NF) </w:t>
            </w:r>
            <w:r w:rsidR="00E44ABA">
              <w:rPr>
                <w:color w:val="000000"/>
                <w:sz w:val="24"/>
                <w:szCs w:val="24"/>
                <w:u w:val="single"/>
              </w:rPr>
              <w:t>Add-On</w:t>
            </w:r>
            <w:r w:rsidRPr="00B237B7">
              <w:rPr>
                <w:color w:val="000000"/>
                <w:sz w:val="24"/>
                <w:szCs w:val="24"/>
                <w:u w:val="single"/>
              </w:rPr>
              <w:t xml:space="preserve">: </w:t>
            </w:r>
          </w:p>
          <w:p w14:paraId="471333D3" w14:textId="015DA187" w:rsidR="0082768A" w:rsidRDefault="007245B0" w:rsidP="00B237B7">
            <w:pPr>
              <w:shd w:val="clear" w:color="auto" w:fill="FFFFFF"/>
              <w:tabs>
                <w:tab w:val="left" w:pos="331"/>
                <w:tab w:val="center" w:pos="4320"/>
                <w:tab w:val="right" w:pos="8640"/>
              </w:tabs>
              <w:spacing w:after="240"/>
              <w:rPr>
                <w:color w:val="000000"/>
                <w:sz w:val="24"/>
                <w:szCs w:val="24"/>
              </w:rPr>
            </w:pPr>
            <w:r>
              <w:rPr>
                <w:color w:val="000000"/>
                <w:sz w:val="24"/>
                <w:szCs w:val="24"/>
              </w:rPr>
              <w:t>This component is a 180-</w:t>
            </w:r>
            <w:r w:rsidR="0080066A" w:rsidRPr="00B237B7">
              <w:rPr>
                <w:color w:val="000000"/>
                <w:sz w:val="24"/>
                <w:szCs w:val="24"/>
              </w:rPr>
              <w:t xml:space="preserve">day NF </w:t>
            </w:r>
            <w:r w:rsidR="0080066A" w:rsidRPr="00B237B7">
              <w:rPr>
                <w:color w:val="000000"/>
                <w:spacing w:val="-1"/>
                <w:sz w:val="24"/>
                <w:szCs w:val="24"/>
              </w:rPr>
              <w:t xml:space="preserve">benefit for both MSC+ and MSHO.  The methodology is the same for both </w:t>
            </w:r>
            <w:r w:rsidR="0080066A" w:rsidRPr="00B237B7">
              <w:rPr>
                <w:color w:val="000000"/>
                <w:sz w:val="24"/>
                <w:szCs w:val="24"/>
              </w:rPr>
              <w:t xml:space="preserve">products.  The NF </w:t>
            </w:r>
            <w:r w:rsidR="00E44ABA">
              <w:rPr>
                <w:color w:val="000000"/>
                <w:sz w:val="24"/>
                <w:szCs w:val="24"/>
              </w:rPr>
              <w:t>Add-On</w:t>
            </w:r>
            <w:r w:rsidR="0080066A" w:rsidRPr="00B237B7">
              <w:rPr>
                <w:color w:val="000000"/>
                <w:sz w:val="24"/>
                <w:szCs w:val="24"/>
              </w:rPr>
              <w:t xml:space="preserve"> is paid only for non-institutionalized enrollees</w:t>
            </w:r>
            <w:r w:rsidR="0082768A">
              <w:rPr>
                <w:color w:val="000000"/>
                <w:sz w:val="24"/>
                <w:szCs w:val="24"/>
              </w:rPr>
              <w:t xml:space="preserve"> and is </w:t>
            </w:r>
            <w:r w:rsidR="0080066A" w:rsidRPr="00B237B7">
              <w:rPr>
                <w:color w:val="000000"/>
                <w:sz w:val="24"/>
                <w:szCs w:val="24"/>
              </w:rPr>
              <w:t xml:space="preserve">designed to cover risk for the expected utilization of NF services for </w:t>
            </w:r>
            <w:r w:rsidR="0082768A">
              <w:rPr>
                <w:color w:val="000000"/>
                <w:sz w:val="24"/>
                <w:szCs w:val="24"/>
              </w:rPr>
              <w:t xml:space="preserve">these </w:t>
            </w:r>
            <w:r w:rsidR="0080066A" w:rsidRPr="00B237B7">
              <w:rPr>
                <w:color w:val="000000"/>
                <w:sz w:val="24"/>
                <w:szCs w:val="24"/>
              </w:rPr>
              <w:t>enrollees</w:t>
            </w:r>
            <w:r w:rsidR="0082768A">
              <w:rPr>
                <w:color w:val="000000"/>
                <w:sz w:val="24"/>
                <w:szCs w:val="24"/>
              </w:rPr>
              <w:t>,</w:t>
            </w:r>
            <w:r w:rsidR="0080066A" w:rsidRPr="00B237B7">
              <w:rPr>
                <w:color w:val="000000"/>
                <w:sz w:val="24"/>
                <w:szCs w:val="24"/>
              </w:rPr>
              <w:t xml:space="preserve"> who reside in the </w:t>
            </w:r>
            <w:r w:rsidR="0080066A" w:rsidRPr="00B237B7">
              <w:rPr>
                <w:color w:val="000000"/>
                <w:sz w:val="24"/>
                <w:szCs w:val="24"/>
              </w:rPr>
              <w:lastRenderedPageBreak/>
              <w:t xml:space="preserve">community upon enrollment.  The NF </w:t>
            </w:r>
            <w:r w:rsidR="00E44ABA">
              <w:rPr>
                <w:color w:val="000000"/>
                <w:sz w:val="24"/>
                <w:szCs w:val="24"/>
              </w:rPr>
              <w:t>Add-On</w:t>
            </w:r>
            <w:r w:rsidR="0080066A" w:rsidRPr="00B237B7">
              <w:rPr>
                <w:color w:val="000000"/>
                <w:sz w:val="24"/>
                <w:szCs w:val="24"/>
              </w:rPr>
              <w:t xml:space="preserve"> continues to be paid while the enrollee remains in the community.  An enrollee who remains in the community with intermittent nursing facility stays might never exhaust this benefit, while others who are institutionalized on a long term basis will exhaust the benefit within 180 days.  </w:t>
            </w:r>
          </w:p>
          <w:p w14:paraId="2385A7BC" w14:textId="13D03268" w:rsidR="0080066A" w:rsidRDefault="0080066A" w:rsidP="00B237B7">
            <w:pPr>
              <w:shd w:val="clear" w:color="auto" w:fill="FFFFFF"/>
              <w:tabs>
                <w:tab w:val="left" w:pos="331"/>
                <w:tab w:val="center" w:pos="4320"/>
                <w:tab w:val="right" w:pos="8640"/>
              </w:tabs>
              <w:spacing w:after="240"/>
            </w:pPr>
            <w:r w:rsidRPr="00B237B7">
              <w:rPr>
                <w:color w:val="000000"/>
                <w:sz w:val="24"/>
                <w:szCs w:val="24"/>
              </w:rPr>
              <w:t>Once the 180</w:t>
            </w:r>
            <w:r w:rsidR="007245B0">
              <w:rPr>
                <w:color w:val="000000"/>
                <w:sz w:val="24"/>
                <w:szCs w:val="24"/>
              </w:rPr>
              <w:t>-</w:t>
            </w:r>
            <w:r w:rsidRPr="00B237B7">
              <w:rPr>
                <w:color w:val="000000"/>
                <w:sz w:val="24"/>
                <w:szCs w:val="24"/>
              </w:rPr>
              <w:t xml:space="preserve">day benefit is exhausted, institutionalized enrollees remain enrolled in the MCO, but nursing facility costs are paid under the FFS program.  The MCO receives the basic care payment component of the rate for enrollees who are in the nursing facility upon enrollment, but other NF costs for those enrollees are paid under FFS.  The NF </w:t>
            </w:r>
            <w:r w:rsidR="00E44ABA">
              <w:rPr>
                <w:color w:val="000000"/>
                <w:sz w:val="24"/>
                <w:szCs w:val="24"/>
              </w:rPr>
              <w:t>Add-On</w:t>
            </w:r>
            <w:r w:rsidRPr="00B237B7">
              <w:rPr>
                <w:color w:val="000000"/>
                <w:sz w:val="24"/>
                <w:szCs w:val="24"/>
              </w:rPr>
              <w:t xml:space="preserve"> was updated for </w:t>
            </w:r>
            <w:r w:rsidR="00492426" w:rsidRPr="00492426">
              <w:rPr>
                <w:color w:val="000000"/>
                <w:sz w:val="24"/>
                <w:szCs w:val="24"/>
              </w:rPr>
              <w:t xml:space="preserve">the upcoming year </w:t>
            </w:r>
            <w:r w:rsidRPr="00B237B7">
              <w:rPr>
                <w:color w:val="000000"/>
                <w:sz w:val="24"/>
                <w:szCs w:val="24"/>
              </w:rPr>
              <w:t xml:space="preserve">as described in </w:t>
            </w:r>
            <w:r w:rsidR="002D3BF0" w:rsidRPr="002D3BF0">
              <w:rPr>
                <w:color w:val="000000"/>
                <w:sz w:val="24"/>
                <w:szCs w:val="24"/>
              </w:rPr>
              <w:t>Attachment A</w:t>
            </w:r>
            <w:r w:rsidR="00C2721E" w:rsidRPr="00832570">
              <w:rPr>
                <w:color w:val="000000"/>
                <w:sz w:val="24"/>
                <w:szCs w:val="24"/>
              </w:rPr>
              <w:t xml:space="preserve">, </w:t>
            </w:r>
            <w:r w:rsidR="00814BF2" w:rsidRPr="00C76FFA">
              <w:rPr>
                <w:color w:val="000000"/>
                <w:sz w:val="24"/>
                <w:szCs w:val="24"/>
              </w:rPr>
              <w:t xml:space="preserve">Section </w:t>
            </w:r>
            <w:r w:rsidR="00F86A7F">
              <w:rPr>
                <w:color w:val="000000"/>
                <w:sz w:val="24"/>
                <w:szCs w:val="24"/>
              </w:rPr>
              <w:t>IV</w:t>
            </w:r>
            <w:r w:rsidRPr="00C76FFA">
              <w:rPr>
                <w:color w:val="000000"/>
                <w:sz w:val="24"/>
                <w:szCs w:val="24"/>
              </w:rPr>
              <w:t>.</w:t>
            </w:r>
            <w:r w:rsidRPr="00B237B7">
              <w:rPr>
                <w:color w:val="000000"/>
                <w:sz w:val="24"/>
                <w:szCs w:val="24"/>
              </w:rPr>
              <w:t xml:space="preserve">  </w:t>
            </w:r>
          </w:p>
          <w:p w14:paraId="5980A43F" w14:textId="5C405D23" w:rsidR="0080066A" w:rsidRPr="00B237B7" w:rsidRDefault="0080066A" w:rsidP="0037093F">
            <w:pPr>
              <w:shd w:val="clear" w:color="auto" w:fill="FFFFFF"/>
              <w:tabs>
                <w:tab w:val="center" w:pos="4320"/>
                <w:tab w:val="right" w:pos="8640"/>
              </w:tabs>
              <w:spacing w:after="240"/>
              <w:jc w:val="center"/>
              <w:rPr>
                <w:u w:val="single"/>
              </w:rPr>
            </w:pPr>
            <w:r w:rsidRPr="00B237B7">
              <w:rPr>
                <w:bCs/>
                <w:color w:val="000000"/>
                <w:spacing w:val="-1"/>
                <w:sz w:val="24"/>
                <w:szCs w:val="24"/>
                <w:u w:val="single"/>
              </w:rPr>
              <w:t>Basic Care Rates</w:t>
            </w:r>
          </w:p>
          <w:p w14:paraId="3729F3A2" w14:textId="45E5E0FE" w:rsidR="0080066A" w:rsidRPr="00B237B7" w:rsidRDefault="0080066A" w:rsidP="00B237B7">
            <w:pPr>
              <w:shd w:val="clear" w:color="auto" w:fill="FFFFFF"/>
              <w:tabs>
                <w:tab w:val="center" w:pos="4320"/>
                <w:tab w:val="right" w:pos="8640"/>
              </w:tabs>
              <w:spacing w:after="240"/>
              <w:rPr>
                <w:color w:val="000000"/>
                <w:sz w:val="24"/>
                <w:szCs w:val="24"/>
              </w:rPr>
            </w:pPr>
            <w:r w:rsidRPr="007103EB">
              <w:rPr>
                <w:color w:val="000000"/>
                <w:sz w:val="24"/>
                <w:szCs w:val="24"/>
              </w:rPr>
              <w:t xml:space="preserve">The State has developed new rates for the </w:t>
            </w:r>
            <w:r w:rsidR="00492426" w:rsidRPr="00492426">
              <w:rPr>
                <w:color w:val="000000"/>
                <w:sz w:val="24"/>
                <w:szCs w:val="24"/>
              </w:rPr>
              <w:t xml:space="preserve">upcoming year </w:t>
            </w:r>
            <w:r w:rsidRPr="007103EB">
              <w:rPr>
                <w:color w:val="000000"/>
                <w:sz w:val="24"/>
                <w:szCs w:val="24"/>
              </w:rPr>
              <w:t>contract period January 1, 201</w:t>
            </w:r>
            <w:r w:rsidR="00EE1A18">
              <w:rPr>
                <w:color w:val="000000"/>
                <w:sz w:val="24"/>
                <w:szCs w:val="24"/>
              </w:rPr>
              <w:t>5</w:t>
            </w:r>
            <w:r w:rsidRPr="007103EB">
              <w:rPr>
                <w:color w:val="000000"/>
                <w:sz w:val="24"/>
                <w:szCs w:val="24"/>
              </w:rPr>
              <w:t xml:space="preserve"> to December 31, 201</w:t>
            </w:r>
            <w:r w:rsidR="00EE1A18">
              <w:rPr>
                <w:color w:val="000000"/>
                <w:sz w:val="24"/>
                <w:szCs w:val="24"/>
              </w:rPr>
              <w:t>5</w:t>
            </w:r>
            <w:r w:rsidRPr="007103EB">
              <w:rPr>
                <w:color w:val="000000"/>
                <w:sz w:val="24"/>
                <w:szCs w:val="24"/>
              </w:rPr>
              <w:t xml:space="preserve">.  The base utilization and cost data used to determine the </w:t>
            </w:r>
            <w:r w:rsidRPr="00622996">
              <w:rPr>
                <w:color w:val="000000"/>
                <w:sz w:val="24"/>
                <w:szCs w:val="24"/>
              </w:rPr>
              <w:t xml:space="preserve">rate levels is actual MCO experience for Medicaid-covered services for </w:t>
            </w:r>
            <w:r w:rsidR="00E21725">
              <w:rPr>
                <w:color w:val="000000"/>
                <w:sz w:val="24"/>
                <w:szCs w:val="24"/>
              </w:rPr>
              <w:t>2015</w:t>
            </w:r>
            <w:r w:rsidRPr="00622996">
              <w:rPr>
                <w:color w:val="000000"/>
                <w:sz w:val="24"/>
                <w:szCs w:val="24"/>
              </w:rPr>
              <w:t xml:space="preserve">.  The methodology is included in </w:t>
            </w:r>
            <w:r w:rsidR="002D3BF0" w:rsidRPr="002D3BF0">
              <w:rPr>
                <w:color w:val="000000"/>
                <w:sz w:val="24"/>
                <w:szCs w:val="24"/>
              </w:rPr>
              <w:t>Attachment A</w:t>
            </w:r>
            <w:r w:rsidR="00FD6AE0" w:rsidRPr="00622996">
              <w:rPr>
                <w:color w:val="000000"/>
                <w:sz w:val="24"/>
                <w:szCs w:val="24"/>
              </w:rPr>
              <w:t xml:space="preserve">, Section </w:t>
            </w:r>
            <w:r w:rsidR="00F86A7F" w:rsidRPr="00622996">
              <w:rPr>
                <w:color w:val="000000"/>
                <w:sz w:val="24"/>
                <w:szCs w:val="24"/>
              </w:rPr>
              <w:t>II</w:t>
            </w:r>
            <w:r w:rsidRPr="00622996">
              <w:rPr>
                <w:color w:val="000000"/>
                <w:sz w:val="24"/>
                <w:szCs w:val="24"/>
              </w:rPr>
              <w:t>.  The actuarial ce</w:t>
            </w:r>
            <w:r w:rsidRPr="00C76FFA">
              <w:rPr>
                <w:color w:val="000000"/>
                <w:sz w:val="24"/>
                <w:szCs w:val="24"/>
              </w:rPr>
              <w:t xml:space="preserve">rtification is found in </w:t>
            </w:r>
            <w:r w:rsidR="002D3BF0">
              <w:rPr>
                <w:color w:val="000000"/>
                <w:sz w:val="24"/>
                <w:szCs w:val="24"/>
              </w:rPr>
              <w:t>Attachment B</w:t>
            </w:r>
            <w:r w:rsidRPr="007103EB">
              <w:rPr>
                <w:color w:val="000000"/>
                <w:sz w:val="24"/>
                <w:szCs w:val="24"/>
              </w:rPr>
              <w:t>.</w:t>
            </w:r>
            <w:r w:rsidRPr="00B237B7">
              <w:rPr>
                <w:color w:val="000000"/>
                <w:sz w:val="24"/>
                <w:szCs w:val="24"/>
              </w:rPr>
              <w:t xml:space="preserve">  </w:t>
            </w:r>
          </w:p>
          <w:p w14:paraId="03794DCF" w14:textId="76286CE0" w:rsidR="005652D5" w:rsidRDefault="002D3BF0" w:rsidP="00622996">
            <w:pPr>
              <w:shd w:val="clear" w:color="auto" w:fill="FFFFFF"/>
              <w:tabs>
                <w:tab w:val="center" w:pos="4320"/>
                <w:tab w:val="right" w:pos="8640"/>
              </w:tabs>
              <w:spacing w:after="240"/>
              <w:rPr>
                <w:color w:val="000000"/>
                <w:sz w:val="24"/>
                <w:szCs w:val="24"/>
              </w:rPr>
            </w:pPr>
            <w:r w:rsidRPr="002D3BF0">
              <w:rPr>
                <w:color w:val="000000"/>
                <w:sz w:val="24"/>
                <w:szCs w:val="24"/>
              </w:rPr>
              <w:t>Attachment A</w:t>
            </w:r>
            <w:r w:rsidR="00400857">
              <w:rPr>
                <w:color w:val="000000"/>
                <w:sz w:val="24"/>
                <w:szCs w:val="24"/>
              </w:rPr>
              <w:t>, pages 5-7</w:t>
            </w:r>
            <w:r w:rsidR="001D5915">
              <w:rPr>
                <w:color w:val="000000"/>
                <w:sz w:val="24"/>
                <w:szCs w:val="24"/>
              </w:rPr>
              <w:t>,</w:t>
            </w:r>
            <w:r w:rsidR="00400857">
              <w:rPr>
                <w:color w:val="000000"/>
                <w:sz w:val="24"/>
                <w:szCs w:val="24"/>
              </w:rPr>
              <w:t xml:space="preserve"> outline</w:t>
            </w:r>
            <w:r w:rsidR="0080066A" w:rsidRPr="00B237B7">
              <w:rPr>
                <w:color w:val="000000"/>
                <w:sz w:val="24"/>
                <w:szCs w:val="24"/>
              </w:rPr>
              <w:t xml:space="preserve"> the actuary’s methodology for </w:t>
            </w:r>
            <w:r w:rsidR="00400857">
              <w:rPr>
                <w:color w:val="000000"/>
                <w:sz w:val="24"/>
                <w:szCs w:val="24"/>
              </w:rPr>
              <w:t xml:space="preserve">basic care </w:t>
            </w:r>
            <w:r w:rsidR="0080066A" w:rsidRPr="00B237B7">
              <w:rPr>
                <w:color w:val="000000"/>
                <w:sz w:val="24"/>
                <w:szCs w:val="24"/>
              </w:rPr>
              <w:t>trend</w:t>
            </w:r>
            <w:r w:rsidR="00400857">
              <w:rPr>
                <w:color w:val="000000"/>
                <w:sz w:val="24"/>
                <w:szCs w:val="24"/>
              </w:rPr>
              <w:t>, benefit</w:t>
            </w:r>
            <w:r w:rsidR="0080066A" w:rsidRPr="00B237B7">
              <w:rPr>
                <w:color w:val="000000"/>
                <w:sz w:val="24"/>
                <w:szCs w:val="24"/>
              </w:rPr>
              <w:t xml:space="preserve"> and surplus adjustments.  For </w:t>
            </w:r>
            <w:r w:rsidR="00492426">
              <w:t xml:space="preserve"> </w:t>
            </w:r>
            <w:r w:rsidR="00492426" w:rsidRPr="00492426">
              <w:rPr>
                <w:color w:val="000000"/>
                <w:sz w:val="24"/>
                <w:szCs w:val="24"/>
              </w:rPr>
              <w:t>the upcoming year</w:t>
            </w:r>
            <w:r w:rsidR="0080066A" w:rsidRPr="00B237B7">
              <w:rPr>
                <w:color w:val="000000"/>
                <w:sz w:val="24"/>
                <w:szCs w:val="24"/>
              </w:rPr>
              <w:t xml:space="preserve"> </w:t>
            </w:r>
            <w:r w:rsidR="0080066A" w:rsidRPr="007245B0">
              <w:rPr>
                <w:color w:val="000000"/>
                <w:sz w:val="24"/>
                <w:szCs w:val="24"/>
              </w:rPr>
              <w:t xml:space="preserve">the actuary’s analysis incorporated </w:t>
            </w:r>
            <w:r w:rsidR="00492426">
              <w:rPr>
                <w:color w:val="000000"/>
                <w:sz w:val="24"/>
                <w:szCs w:val="24"/>
              </w:rPr>
              <w:t>MCOs’</w:t>
            </w:r>
            <w:r w:rsidR="0080066A" w:rsidRPr="007245B0">
              <w:rPr>
                <w:color w:val="000000"/>
                <w:sz w:val="24"/>
                <w:szCs w:val="24"/>
              </w:rPr>
              <w:t xml:space="preserve"> medical cost and utilization experience as well as expected </w:t>
            </w:r>
            <w:r w:rsidR="0080066A" w:rsidRPr="00622996">
              <w:rPr>
                <w:color w:val="000000"/>
                <w:sz w:val="24"/>
                <w:szCs w:val="24"/>
              </w:rPr>
              <w:t xml:space="preserve">price changes in Medicare and Medicaid FFS used as a benchmark.  </w:t>
            </w:r>
            <w:r w:rsidR="0080066A" w:rsidRPr="00622996">
              <w:rPr>
                <w:sz w:val="24"/>
                <w:szCs w:val="24"/>
              </w:rPr>
              <w:t>Th</w:t>
            </w:r>
            <w:r w:rsidR="00C76FFA" w:rsidRPr="00622996">
              <w:rPr>
                <w:sz w:val="24"/>
                <w:szCs w:val="24"/>
              </w:rPr>
              <w:t>e</w:t>
            </w:r>
            <w:r w:rsidR="0080066A" w:rsidRPr="00622996">
              <w:rPr>
                <w:sz w:val="24"/>
                <w:szCs w:val="24"/>
              </w:rPr>
              <w:t xml:space="preserve"> annual trend</w:t>
            </w:r>
            <w:r w:rsidR="00A25511" w:rsidRPr="00622996">
              <w:rPr>
                <w:sz w:val="24"/>
                <w:szCs w:val="24"/>
              </w:rPr>
              <w:t>s</w:t>
            </w:r>
            <w:r w:rsidR="0080066A" w:rsidRPr="00622996">
              <w:rPr>
                <w:sz w:val="24"/>
                <w:szCs w:val="24"/>
              </w:rPr>
              <w:t xml:space="preserve"> </w:t>
            </w:r>
            <w:r w:rsidR="00C76FFA" w:rsidRPr="00622996">
              <w:rPr>
                <w:sz w:val="24"/>
                <w:szCs w:val="24"/>
              </w:rPr>
              <w:t xml:space="preserve"> </w:t>
            </w:r>
            <w:r w:rsidR="00A25511" w:rsidRPr="00622996">
              <w:rPr>
                <w:sz w:val="24"/>
                <w:szCs w:val="24"/>
              </w:rPr>
              <w:t xml:space="preserve">for the various benefits and subpopulations were </w:t>
            </w:r>
            <w:r w:rsidR="0080066A" w:rsidRPr="00622996">
              <w:rPr>
                <w:sz w:val="24"/>
                <w:szCs w:val="24"/>
              </w:rPr>
              <w:t xml:space="preserve">applied to the </w:t>
            </w:r>
            <w:r w:rsidR="00622996" w:rsidRPr="00622996">
              <w:rPr>
                <w:sz w:val="24"/>
                <w:szCs w:val="24"/>
              </w:rPr>
              <w:t xml:space="preserve">2013 </w:t>
            </w:r>
            <w:r w:rsidR="0080066A" w:rsidRPr="00622996">
              <w:rPr>
                <w:sz w:val="24"/>
                <w:szCs w:val="24"/>
              </w:rPr>
              <w:t xml:space="preserve">actual </w:t>
            </w:r>
            <w:r w:rsidR="001D5915">
              <w:rPr>
                <w:sz w:val="24"/>
                <w:szCs w:val="24"/>
              </w:rPr>
              <w:t xml:space="preserve">PM/PM </w:t>
            </w:r>
            <w:r w:rsidR="0080066A" w:rsidRPr="00622996">
              <w:rPr>
                <w:sz w:val="24"/>
                <w:szCs w:val="24"/>
              </w:rPr>
              <w:t>medical cost to calculate the projected 201</w:t>
            </w:r>
            <w:r w:rsidR="00EE1A18" w:rsidRPr="00622996">
              <w:rPr>
                <w:sz w:val="24"/>
                <w:szCs w:val="24"/>
              </w:rPr>
              <w:t>5</w:t>
            </w:r>
            <w:r w:rsidR="0080066A" w:rsidRPr="00622996">
              <w:rPr>
                <w:sz w:val="24"/>
                <w:szCs w:val="24"/>
              </w:rPr>
              <w:t xml:space="preserve"> annual </w:t>
            </w:r>
            <w:r w:rsidR="001D5915">
              <w:rPr>
                <w:sz w:val="24"/>
                <w:szCs w:val="24"/>
              </w:rPr>
              <w:t xml:space="preserve">PM/PM </w:t>
            </w:r>
            <w:r w:rsidR="0080066A" w:rsidRPr="00622996">
              <w:rPr>
                <w:sz w:val="24"/>
                <w:szCs w:val="24"/>
              </w:rPr>
              <w:t xml:space="preserve">claim cost for the year.  </w:t>
            </w:r>
            <w:r w:rsidR="0080066A" w:rsidRPr="00622996">
              <w:rPr>
                <w:color w:val="000000"/>
                <w:sz w:val="24"/>
                <w:szCs w:val="24"/>
              </w:rPr>
              <w:t xml:space="preserve"> </w:t>
            </w:r>
            <w:r w:rsidR="00447A72" w:rsidRPr="00622996">
              <w:rPr>
                <w:color w:val="000000"/>
                <w:sz w:val="24"/>
                <w:szCs w:val="24"/>
              </w:rPr>
              <w:t xml:space="preserve"> </w:t>
            </w:r>
            <w:r w:rsidR="00957ACC" w:rsidRPr="00622996">
              <w:rPr>
                <w:color w:val="000000"/>
                <w:sz w:val="24"/>
                <w:szCs w:val="24"/>
              </w:rPr>
              <w:t>T</w:t>
            </w:r>
            <w:r w:rsidR="000F6D7E" w:rsidRPr="00622996">
              <w:rPr>
                <w:color w:val="000000"/>
                <w:sz w:val="24"/>
                <w:szCs w:val="24"/>
              </w:rPr>
              <w:t>w</w:t>
            </w:r>
            <w:r w:rsidR="00492426" w:rsidRPr="00622996">
              <w:rPr>
                <w:color w:val="000000"/>
                <w:sz w:val="24"/>
                <w:szCs w:val="24"/>
              </w:rPr>
              <w:t>o regions are needed to capture</w:t>
            </w:r>
            <w:r w:rsidR="000F6D7E" w:rsidRPr="00622996">
              <w:rPr>
                <w:color w:val="000000"/>
                <w:sz w:val="24"/>
                <w:szCs w:val="24"/>
              </w:rPr>
              <w:t xml:space="preserve"> differences due to geographic area</w:t>
            </w:r>
            <w:r w:rsidR="00BA6D14" w:rsidRPr="00622996">
              <w:rPr>
                <w:color w:val="000000"/>
                <w:sz w:val="24"/>
                <w:szCs w:val="24"/>
              </w:rPr>
              <w:t xml:space="preserve"> (see page 1</w:t>
            </w:r>
            <w:r w:rsidR="00622996">
              <w:rPr>
                <w:color w:val="000000"/>
                <w:sz w:val="24"/>
                <w:szCs w:val="24"/>
              </w:rPr>
              <w:t>6</w:t>
            </w:r>
            <w:r w:rsidR="00BA6D14" w:rsidRPr="00622996">
              <w:rPr>
                <w:color w:val="000000"/>
                <w:sz w:val="24"/>
                <w:szCs w:val="24"/>
              </w:rPr>
              <w:t xml:space="preserve"> of </w:t>
            </w:r>
            <w:r w:rsidRPr="002D3BF0">
              <w:rPr>
                <w:color w:val="000000"/>
                <w:sz w:val="24"/>
                <w:szCs w:val="24"/>
              </w:rPr>
              <w:t>Attachment A</w:t>
            </w:r>
            <w:r w:rsidR="00BA6D14" w:rsidRPr="00622996">
              <w:rPr>
                <w:color w:val="000000"/>
                <w:sz w:val="24"/>
                <w:szCs w:val="24"/>
              </w:rPr>
              <w:t>)</w:t>
            </w:r>
            <w:r w:rsidR="000F6D7E" w:rsidRPr="00622996">
              <w:rPr>
                <w:color w:val="000000"/>
                <w:sz w:val="24"/>
                <w:szCs w:val="24"/>
              </w:rPr>
              <w:t>.</w:t>
            </w:r>
            <w:r w:rsidR="000F6D7E">
              <w:rPr>
                <w:color w:val="000000"/>
                <w:sz w:val="24"/>
                <w:szCs w:val="24"/>
              </w:rPr>
              <w:t xml:space="preserve">  </w:t>
            </w:r>
            <w:r w:rsidR="00221C2A">
              <w:rPr>
                <w:color w:val="000000"/>
                <w:sz w:val="24"/>
                <w:szCs w:val="24"/>
              </w:rPr>
              <w:t xml:space="preserve">  </w:t>
            </w:r>
            <w:r w:rsidR="000F6D7E">
              <w:rPr>
                <w:color w:val="000000"/>
                <w:sz w:val="24"/>
                <w:szCs w:val="24"/>
              </w:rPr>
              <w:t xml:space="preserve"> </w:t>
            </w:r>
          </w:p>
          <w:p w14:paraId="41304E36" w14:textId="311DB89E" w:rsidR="005C71BD" w:rsidRPr="00B237B7" w:rsidRDefault="005C71BD" w:rsidP="00A25511">
            <w:pPr>
              <w:shd w:val="clear" w:color="auto" w:fill="FFFFFF"/>
              <w:tabs>
                <w:tab w:val="center" w:pos="4320"/>
                <w:tab w:val="right" w:pos="8640"/>
              </w:tabs>
              <w:spacing w:after="240"/>
              <w:jc w:val="center"/>
              <w:rPr>
                <w:u w:val="single"/>
              </w:rPr>
            </w:pPr>
            <w:r w:rsidRPr="00B237B7">
              <w:rPr>
                <w:bCs/>
                <w:color w:val="000000"/>
                <w:sz w:val="24"/>
                <w:szCs w:val="24"/>
                <w:u w:val="single"/>
              </w:rPr>
              <w:t xml:space="preserve">Elderly Waiver (EW) </w:t>
            </w:r>
            <w:r>
              <w:rPr>
                <w:bCs/>
                <w:color w:val="000000"/>
                <w:sz w:val="24"/>
                <w:szCs w:val="24"/>
                <w:u w:val="single"/>
              </w:rPr>
              <w:t>Add-On</w:t>
            </w:r>
            <w:r w:rsidRPr="00B237B7">
              <w:rPr>
                <w:bCs/>
                <w:color w:val="000000"/>
                <w:sz w:val="24"/>
                <w:szCs w:val="24"/>
                <w:u w:val="single"/>
              </w:rPr>
              <w:t xml:space="preserve"> Rates</w:t>
            </w:r>
          </w:p>
          <w:p w14:paraId="08B62ED2" w14:textId="77777777" w:rsidR="00A25511" w:rsidRDefault="005C71BD" w:rsidP="005C71BD">
            <w:pPr>
              <w:shd w:val="clear" w:color="auto" w:fill="FFFFFF"/>
              <w:tabs>
                <w:tab w:val="center" w:pos="4320"/>
                <w:tab w:val="right" w:pos="8640"/>
              </w:tabs>
              <w:spacing w:after="240"/>
              <w:rPr>
                <w:color w:val="000000"/>
                <w:spacing w:val="-1"/>
                <w:sz w:val="24"/>
                <w:szCs w:val="24"/>
              </w:rPr>
            </w:pPr>
            <w:r w:rsidRPr="00B237B7">
              <w:rPr>
                <w:color w:val="000000"/>
                <w:spacing w:val="-1"/>
                <w:sz w:val="24"/>
                <w:szCs w:val="24"/>
              </w:rPr>
              <w:t xml:space="preserve">EW rates are paid under a separate rate cell covering only those community members who have been assessed to need a NF level of care but who may remain in the community with Elderly Waiver services.  </w:t>
            </w:r>
          </w:p>
          <w:p w14:paraId="0887602F" w14:textId="286D1A47" w:rsidR="008A7FFC" w:rsidRDefault="005C71BD" w:rsidP="007245B0">
            <w:pPr>
              <w:shd w:val="clear" w:color="auto" w:fill="FFFFFF"/>
              <w:tabs>
                <w:tab w:val="center" w:pos="4320"/>
                <w:tab w:val="right" w:pos="8640"/>
              </w:tabs>
              <w:spacing w:after="240"/>
              <w:rPr>
                <w:color w:val="000000"/>
                <w:spacing w:val="-1"/>
                <w:sz w:val="24"/>
                <w:szCs w:val="24"/>
              </w:rPr>
            </w:pPr>
            <w:r>
              <w:rPr>
                <w:color w:val="000000"/>
                <w:spacing w:val="-1"/>
                <w:sz w:val="24"/>
                <w:szCs w:val="24"/>
              </w:rPr>
              <w:t xml:space="preserve">The </w:t>
            </w:r>
            <w:r w:rsidR="00492426">
              <w:t xml:space="preserve"> </w:t>
            </w:r>
            <w:r>
              <w:rPr>
                <w:color w:val="000000"/>
                <w:spacing w:val="-1"/>
                <w:sz w:val="24"/>
                <w:szCs w:val="24"/>
              </w:rPr>
              <w:t xml:space="preserve">EW Add-On rates were </w:t>
            </w:r>
            <w:r w:rsidR="00A25511">
              <w:rPr>
                <w:color w:val="000000"/>
                <w:spacing w:val="-1"/>
                <w:sz w:val="24"/>
                <w:szCs w:val="24"/>
              </w:rPr>
              <w:t xml:space="preserve">developed </w:t>
            </w:r>
            <w:r>
              <w:rPr>
                <w:color w:val="000000"/>
                <w:spacing w:val="-1"/>
                <w:sz w:val="24"/>
                <w:szCs w:val="24"/>
              </w:rPr>
              <w:t xml:space="preserve">using </w:t>
            </w:r>
            <w:r w:rsidR="00957ACC">
              <w:rPr>
                <w:color w:val="000000"/>
                <w:spacing w:val="-1"/>
                <w:sz w:val="24"/>
                <w:szCs w:val="24"/>
              </w:rPr>
              <w:t>201</w:t>
            </w:r>
            <w:r w:rsidR="003E48D8">
              <w:rPr>
                <w:color w:val="000000"/>
                <w:spacing w:val="-1"/>
                <w:sz w:val="24"/>
                <w:szCs w:val="24"/>
              </w:rPr>
              <w:t>3</w:t>
            </w:r>
            <w:r w:rsidR="00957ACC">
              <w:rPr>
                <w:color w:val="000000"/>
                <w:spacing w:val="-1"/>
                <w:sz w:val="24"/>
                <w:szCs w:val="24"/>
              </w:rPr>
              <w:t xml:space="preserve"> </w:t>
            </w:r>
            <w:r>
              <w:rPr>
                <w:color w:val="000000"/>
                <w:spacing w:val="-1"/>
                <w:sz w:val="24"/>
                <w:szCs w:val="24"/>
              </w:rPr>
              <w:t xml:space="preserve">MCO experience for both EW and care coordination / case management (CC/CM) services.  The </w:t>
            </w:r>
            <w:r w:rsidR="00F86A7F">
              <w:rPr>
                <w:color w:val="000000"/>
                <w:spacing w:val="-1"/>
                <w:sz w:val="24"/>
                <w:szCs w:val="24"/>
              </w:rPr>
              <w:t xml:space="preserve">EW </w:t>
            </w:r>
            <w:r>
              <w:rPr>
                <w:color w:val="000000"/>
                <w:spacing w:val="-1"/>
                <w:sz w:val="24"/>
                <w:szCs w:val="24"/>
              </w:rPr>
              <w:t xml:space="preserve">rates are </w:t>
            </w:r>
            <w:r w:rsidRPr="00B237B7">
              <w:rPr>
                <w:color w:val="000000"/>
                <w:spacing w:val="-1"/>
                <w:sz w:val="24"/>
                <w:szCs w:val="24"/>
              </w:rPr>
              <w:t xml:space="preserve">adjusted for subsequent benefit and trend changes.  </w:t>
            </w:r>
            <w:r>
              <w:rPr>
                <w:color w:val="000000"/>
                <w:spacing w:val="-1"/>
                <w:sz w:val="24"/>
                <w:szCs w:val="24"/>
              </w:rPr>
              <w:t xml:space="preserve">The rates include a risk adjustment component to allocate revenue for the EW population based on </w:t>
            </w:r>
            <w:r w:rsidR="00E01384">
              <w:rPr>
                <w:color w:val="000000"/>
                <w:spacing w:val="-1"/>
                <w:sz w:val="24"/>
                <w:szCs w:val="24"/>
              </w:rPr>
              <w:t>difference between activities of daily living (ADL)</w:t>
            </w:r>
            <w:r>
              <w:rPr>
                <w:color w:val="000000"/>
                <w:spacing w:val="-1"/>
                <w:sz w:val="24"/>
                <w:szCs w:val="24"/>
              </w:rPr>
              <w:t>, age, and metro/non-metro status</w:t>
            </w:r>
            <w:r w:rsidR="00232600">
              <w:rPr>
                <w:color w:val="000000"/>
                <w:spacing w:val="-1"/>
                <w:sz w:val="24"/>
                <w:szCs w:val="24"/>
              </w:rPr>
              <w:t xml:space="preserve"> (see </w:t>
            </w:r>
            <w:r w:rsidR="002D3BF0" w:rsidRPr="002D3BF0">
              <w:rPr>
                <w:color w:val="000000"/>
                <w:spacing w:val="-1"/>
                <w:sz w:val="24"/>
                <w:szCs w:val="24"/>
              </w:rPr>
              <w:t>Attachment A</w:t>
            </w:r>
            <w:r w:rsidR="00232600">
              <w:rPr>
                <w:color w:val="000000"/>
                <w:spacing w:val="-1"/>
                <w:sz w:val="24"/>
                <w:szCs w:val="24"/>
              </w:rPr>
              <w:t>, section I</w:t>
            </w:r>
            <w:r w:rsidR="00A25511">
              <w:rPr>
                <w:color w:val="000000"/>
                <w:spacing w:val="-1"/>
                <w:sz w:val="24"/>
                <w:szCs w:val="24"/>
              </w:rPr>
              <w:t>I</w:t>
            </w:r>
            <w:r w:rsidR="00232600">
              <w:rPr>
                <w:color w:val="000000"/>
                <w:spacing w:val="-1"/>
                <w:sz w:val="24"/>
                <w:szCs w:val="24"/>
              </w:rPr>
              <w:t>I on page</w:t>
            </w:r>
            <w:r w:rsidR="00622996">
              <w:rPr>
                <w:color w:val="000000"/>
                <w:spacing w:val="-1"/>
                <w:sz w:val="24"/>
                <w:szCs w:val="24"/>
              </w:rPr>
              <w:t>s</w:t>
            </w:r>
            <w:r w:rsidR="00232600">
              <w:rPr>
                <w:color w:val="000000"/>
                <w:spacing w:val="-1"/>
                <w:sz w:val="24"/>
                <w:szCs w:val="24"/>
              </w:rPr>
              <w:t xml:space="preserve"> 1</w:t>
            </w:r>
            <w:r w:rsidR="00622996">
              <w:rPr>
                <w:color w:val="000000"/>
                <w:spacing w:val="-1"/>
                <w:sz w:val="24"/>
                <w:szCs w:val="24"/>
              </w:rPr>
              <w:t>8</w:t>
            </w:r>
            <w:r w:rsidR="00232600">
              <w:rPr>
                <w:color w:val="000000"/>
                <w:spacing w:val="-1"/>
                <w:sz w:val="24"/>
                <w:szCs w:val="24"/>
              </w:rPr>
              <w:t>-</w:t>
            </w:r>
            <w:r w:rsidR="00622996">
              <w:rPr>
                <w:color w:val="000000"/>
                <w:spacing w:val="-1"/>
                <w:sz w:val="24"/>
                <w:szCs w:val="24"/>
              </w:rPr>
              <w:t>22</w:t>
            </w:r>
            <w:r w:rsidR="00232600">
              <w:rPr>
                <w:color w:val="000000"/>
                <w:spacing w:val="-1"/>
                <w:sz w:val="24"/>
                <w:szCs w:val="24"/>
              </w:rPr>
              <w:t>)</w:t>
            </w:r>
            <w:r>
              <w:rPr>
                <w:color w:val="000000"/>
                <w:spacing w:val="-1"/>
                <w:sz w:val="24"/>
                <w:szCs w:val="24"/>
              </w:rPr>
              <w:t xml:space="preserve">.  </w:t>
            </w:r>
          </w:p>
          <w:p w14:paraId="5643779E" w14:textId="77777777" w:rsidR="009E1EB7" w:rsidRDefault="009E1EB7" w:rsidP="007245B0">
            <w:pPr>
              <w:shd w:val="clear" w:color="auto" w:fill="FFFFFF"/>
              <w:tabs>
                <w:tab w:val="center" w:pos="4320"/>
                <w:tab w:val="right" w:pos="8640"/>
              </w:tabs>
              <w:spacing w:after="240"/>
              <w:rPr>
                <w:color w:val="000000"/>
                <w:spacing w:val="-1"/>
                <w:sz w:val="24"/>
                <w:szCs w:val="24"/>
              </w:rPr>
            </w:pPr>
          </w:p>
          <w:p w14:paraId="24F471A0" w14:textId="6CC4FA1D" w:rsidR="0080066A" w:rsidRPr="00DB3D37" w:rsidRDefault="0080066A" w:rsidP="003E48D8">
            <w:pPr>
              <w:shd w:val="clear" w:color="auto" w:fill="FFFFFF"/>
              <w:tabs>
                <w:tab w:val="center" w:pos="4320"/>
                <w:tab w:val="right" w:pos="8640"/>
              </w:tabs>
              <w:spacing w:after="240"/>
              <w:jc w:val="center"/>
              <w:rPr>
                <w:u w:val="single"/>
              </w:rPr>
            </w:pPr>
            <w:r w:rsidRPr="00550C0A">
              <w:rPr>
                <w:bCs/>
                <w:color w:val="000000"/>
                <w:sz w:val="24"/>
                <w:szCs w:val="24"/>
                <w:u w:val="single"/>
              </w:rPr>
              <w:lastRenderedPageBreak/>
              <w:t xml:space="preserve">Nursing Facility (NF) </w:t>
            </w:r>
            <w:r w:rsidR="00E44ABA">
              <w:rPr>
                <w:bCs/>
                <w:color w:val="000000"/>
                <w:sz w:val="24"/>
                <w:szCs w:val="24"/>
                <w:u w:val="single"/>
              </w:rPr>
              <w:t>Add-On</w:t>
            </w:r>
            <w:r w:rsidRPr="00550C0A">
              <w:rPr>
                <w:bCs/>
                <w:color w:val="000000"/>
                <w:sz w:val="24"/>
                <w:szCs w:val="24"/>
                <w:u w:val="single"/>
              </w:rPr>
              <w:t xml:space="preserve"> Rates</w:t>
            </w:r>
          </w:p>
          <w:p w14:paraId="59A27B17" w14:textId="0E478470" w:rsidR="00053C15" w:rsidRDefault="0080066A" w:rsidP="00B237B7">
            <w:pPr>
              <w:shd w:val="clear" w:color="auto" w:fill="FFFFFF"/>
              <w:tabs>
                <w:tab w:val="center" w:pos="4320"/>
                <w:tab w:val="right" w:pos="8640"/>
              </w:tabs>
              <w:spacing w:after="240"/>
              <w:rPr>
                <w:color w:val="000000"/>
                <w:spacing w:val="-1"/>
                <w:sz w:val="24"/>
                <w:szCs w:val="24"/>
              </w:rPr>
            </w:pPr>
            <w:r w:rsidRPr="00B237B7">
              <w:rPr>
                <w:color w:val="000000"/>
                <w:spacing w:val="-1"/>
                <w:sz w:val="24"/>
                <w:szCs w:val="24"/>
              </w:rPr>
              <w:t xml:space="preserve">The </w:t>
            </w:r>
            <w:r w:rsidR="00492426" w:rsidRPr="00492426">
              <w:rPr>
                <w:color w:val="000000"/>
                <w:spacing w:val="-1"/>
                <w:sz w:val="24"/>
                <w:szCs w:val="24"/>
              </w:rPr>
              <w:t xml:space="preserve"> </w:t>
            </w:r>
            <w:r w:rsidRPr="00B237B7">
              <w:rPr>
                <w:color w:val="000000"/>
                <w:spacing w:val="-1"/>
                <w:sz w:val="24"/>
                <w:szCs w:val="24"/>
              </w:rPr>
              <w:t>MSC+ and MSHO rates include a component covering a Medicaid NF 180</w:t>
            </w:r>
            <w:r w:rsidR="001D5915">
              <w:rPr>
                <w:color w:val="000000"/>
                <w:spacing w:val="-1"/>
                <w:sz w:val="24"/>
                <w:szCs w:val="24"/>
              </w:rPr>
              <w:t>-</w:t>
            </w:r>
            <w:r w:rsidRPr="00B237B7">
              <w:rPr>
                <w:color w:val="000000"/>
                <w:spacing w:val="-1"/>
                <w:sz w:val="24"/>
                <w:szCs w:val="24"/>
              </w:rPr>
              <w:t>day benefit</w:t>
            </w:r>
            <w:r w:rsidR="001D5915">
              <w:rPr>
                <w:color w:val="000000"/>
                <w:spacing w:val="-1"/>
                <w:sz w:val="24"/>
                <w:szCs w:val="24"/>
              </w:rPr>
              <w:t>,</w:t>
            </w:r>
            <w:r w:rsidRPr="00B237B7">
              <w:rPr>
                <w:color w:val="000000"/>
                <w:spacing w:val="-1"/>
                <w:sz w:val="24"/>
                <w:szCs w:val="24"/>
              </w:rPr>
              <w:t xml:space="preserve"> which is applied only to non-institutional rate cells.  Once the 180</w:t>
            </w:r>
            <w:r w:rsidR="001D5915">
              <w:rPr>
                <w:color w:val="000000"/>
                <w:spacing w:val="-1"/>
                <w:sz w:val="24"/>
                <w:szCs w:val="24"/>
              </w:rPr>
              <w:t>-</w:t>
            </w:r>
            <w:r w:rsidRPr="00B237B7">
              <w:rPr>
                <w:color w:val="000000"/>
                <w:spacing w:val="-1"/>
                <w:sz w:val="24"/>
                <w:szCs w:val="24"/>
              </w:rPr>
              <w:t xml:space="preserve">day benefit is exhausted, enrollees remain enrolled but may access NF services through FFS payment.  </w:t>
            </w:r>
          </w:p>
          <w:p w14:paraId="7FDB0C3A" w14:textId="60413721" w:rsidR="0080066A" w:rsidRPr="00616778" w:rsidRDefault="0080066A" w:rsidP="001D5915">
            <w:pPr>
              <w:shd w:val="clear" w:color="auto" w:fill="FFFFFF"/>
              <w:tabs>
                <w:tab w:val="center" w:pos="4320"/>
                <w:tab w:val="right" w:pos="8640"/>
              </w:tabs>
              <w:spacing w:after="240"/>
            </w:pPr>
            <w:r w:rsidRPr="00B237B7">
              <w:rPr>
                <w:color w:val="000000"/>
                <w:spacing w:val="-1"/>
                <w:sz w:val="24"/>
                <w:szCs w:val="24"/>
              </w:rPr>
              <w:t xml:space="preserve">The </w:t>
            </w:r>
            <w:r w:rsidR="00492426">
              <w:t xml:space="preserve"> </w:t>
            </w:r>
            <w:r w:rsidRPr="00B237B7">
              <w:rPr>
                <w:color w:val="000000"/>
                <w:spacing w:val="-1"/>
                <w:sz w:val="24"/>
                <w:szCs w:val="24"/>
              </w:rPr>
              <w:t xml:space="preserve">rates were based </w:t>
            </w:r>
            <w:r w:rsidR="00970C33">
              <w:rPr>
                <w:color w:val="000000"/>
                <w:spacing w:val="-1"/>
                <w:sz w:val="24"/>
                <w:szCs w:val="24"/>
              </w:rPr>
              <w:t xml:space="preserve">on </w:t>
            </w:r>
            <w:r w:rsidR="007149A4">
              <w:rPr>
                <w:color w:val="000000"/>
                <w:spacing w:val="-1"/>
                <w:sz w:val="24"/>
                <w:szCs w:val="24"/>
              </w:rPr>
              <w:t xml:space="preserve">recent managed care experience </w:t>
            </w:r>
            <w:r w:rsidRPr="00B237B7">
              <w:rPr>
                <w:color w:val="000000"/>
                <w:sz w:val="24"/>
                <w:szCs w:val="24"/>
              </w:rPr>
              <w:t xml:space="preserve">with adjustments to reflect changes in utilization and trend. </w:t>
            </w:r>
            <w:r w:rsidR="00447A72">
              <w:rPr>
                <w:color w:val="000000"/>
                <w:sz w:val="24"/>
                <w:szCs w:val="24"/>
              </w:rPr>
              <w:t xml:space="preserve"> </w:t>
            </w:r>
            <w:r w:rsidR="00BD3769">
              <w:rPr>
                <w:color w:val="000000"/>
                <w:sz w:val="24"/>
                <w:szCs w:val="24"/>
              </w:rPr>
              <w:t xml:space="preserve">This component is not </w:t>
            </w:r>
            <w:r w:rsidR="00E44ABA">
              <w:rPr>
                <w:color w:val="000000"/>
                <w:sz w:val="24"/>
                <w:szCs w:val="24"/>
              </w:rPr>
              <w:t>MCO-</w:t>
            </w:r>
            <w:r w:rsidR="00BD3769">
              <w:rPr>
                <w:color w:val="000000"/>
                <w:sz w:val="24"/>
                <w:szCs w:val="24"/>
              </w:rPr>
              <w:t>specific</w:t>
            </w:r>
            <w:r w:rsidR="00E44ABA">
              <w:rPr>
                <w:color w:val="000000"/>
                <w:sz w:val="24"/>
                <w:szCs w:val="24"/>
              </w:rPr>
              <w:t>:</w:t>
            </w:r>
            <w:r w:rsidR="00BD3769">
              <w:rPr>
                <w:color w:val="000000"/>
                <w:sz w:val="24"/>
                <w:szCs w:val="24"/>
              </w:rPr>
              <w:t xml:space="preserve"> costs and utilization across all plans and FFS are used to develop standard factors that are applied to all </w:t>
            </w:r>
            <w:r w:rsidR="00BA6D14">
              <w:rPr>
                <w:color w:val="000000"/>
                <w:sz w:val="24"/>
                <w:szCs w:val="24"/>
              </w:rPr>
              <w:t xml:space="preserve">MCOs with adjustments as noted in </w:t>
            </w:r>
            <w:r w:rsidR="002D3BF0" w:rsidRPr="002D3BF0">
              <w:rPr>
                <w:color w:val="000000"/>
                <w:sz w:val="24"/>
                <w:szCs w:val="24"/>
              </w:rPr>
              <w:t>Attachment A</w:t>
            </w:r>
            <w:r w:rsidR="00182CC6">
              <w:rPr>
                <w:color w:val="000000"/>
                <w:sz w:val="24"/>
                <w:szCs w:val="24"/>
              </w:rPr>
              <w:t xml:space="preserve">, section IV, on pages </w:t>
            </w:r>
            <w:r w:rsidR="00BA6D14">
              <w:rPr>
                <w:color w:val="000000"/>
                <w:sz w:val="24"/>
                <w:szCs w:val="24"/>
              </w:rPr>
              <w:t>23</w:t>
            </w:r>
            <w:r w:rsidR="00182CC6">
              <w:rPr>
                <w:color w:val="000000"/>
                <w:sz w:val="24"/>
                <w:szCs w:val="24"/>
              </w:rPr>
              <w:t>-26</w:t>
            </w:r>
            <w:r w:rsidR="00BD3769">
              <w:rPr>
                <w:color w:val="000000"/>
                <w:sz w:val="24"/>
                <w:szCs w:val="24"/>
              </w:rPr>
              <w:t xml:space="preserve">.  </w:t>
            </w:r>
            <w:r w:rsidRPr="00B237B7">
              <w:rPr>
                <w:color w:val="000000"/>
                <w:sz w:val="24"/>
                <w:szCs w:val="24"/>
              </w:rPr>
              <w:t>Costs w</w:t>
            </w:r>
            <w:r w:rsidRPr="00D17339">
              <w:rPr>
                <w:color w:val="000000"/>
                <w:sz w:val="24"/>
                <w:szCs w:val="24"/>
              </w:rPr>
              <w:t>ere trended to CY 201</w:t>
            </w:r>
            <w:r w:rsidR="00EE1A18">
              <w:rPr>
                <w:color w:val="000000"/>
                <w:sz w:val="24"/>
                <w:szCs w:val="24"/>
              </w:rPr>
              <w:t>5</w:t>
            </w:r>
            <w:r w:rsidRPr="00D17339">
              <w:rPr>
                <w:color w:val="000000"/>
                <w:sz w:val="24"/>
                <w:szCs w:val="24"/>
              </w:rPr>
              <w:t xml:space="preserve"> using State forecast projections for utilization, benefit changes and charges. </w:t>
            </w:r>
            <w:r w:rsidR="00447A72" w:rsidRPr="00D17339">
              <w:rPr>
                <w:color w:val="000000"/>
                <w:sz w:val="24"/>
                <w:szCs w:val="24"/>
              </w:rPr>
              <w:t xml:space="preserve"> </w:t>
            </w:r>
            <w:r w:rsidRPr="00B237B7">
              <w:rPr>
                <w:color w:val="000000"/>
                <w:sz w:val="24"/>
                <w:szCs w:val="24"/>
              </w:rPr>
              <w:t xml:space="preserve">  </w:t>
            </w:r>
          </w:p>
        </w:tc>
      </w:tr>
      <w:tr w:rsidR="0080066A" w14:paraId="7E2FC480" w14:textId="77777777" w:rsidTr="00E21725">
        <w:tc>
          <w:tcPr>
            <w:tcW w:w="2268" w:type="dxa"/>
            <w:shd w:val="clear" w:color="auto" w:fill="auto"/>
          </w:tcPr>
          <w:p w14:paraId="388FEE2E" w14:textId="33F4CA89" w:rsidR="0080066A" w:rsidRPr="00B237B7" w:rsidRDefault="0080066A" w:rsidP="00B237B7">
            <w:pPr>
              <w:tabs>
                <w:tab w:val="center" w:pos="4320"/>
                <w:tab w:val="right" w:pos="8640"/>
              </w:tabs>
              <w:spacing w:after="240"/>
              <w:rPr>
                <w:rFonts w:ascii="Calibri" w:hAnsi="Calibri" w:cs="Calibri"/>
              </w:rPr>
            </w:pPr>
            <w:r w:rsidRPr="00B237B7">
              <w:rPr>
                <w:rFonts w:ascii="Calibri" w:hAnsi="Calibri" w:cs="Calibri"/>
              </w:rPr>
              <w:lastRenderedPageBreak/>
              <w:t>AA.1.1</w:t>
            </w:r>
          </w:p>
        </w:tc>
        <w:tc>
          <w:tcPr>
            <w:tcW w:w="7337" w:type="dxa"/>
            <w:shd w:val="clear" w:color="auto" w:fill="auto"/>
          </w:tcPr>
          <w:p w14:paraId="04B135FA" w14:textId="77777777" w:rsidR="0080066A" w:rsidRDefault="0080066A" w:rsidP="00B237B7">
            <w:pPr>
              <w:shd w:val="clear" w:color="auto" w:fill="FFFFFF"/>
              <w:tabs>
                <w:tab w:val="left" w:pos="1440"/>
                <w:tab w:val="center" w:pos="4320"/>
                <w:tab w:val="right" w:pos="8640"/>
              </w:tabs>
              <w:spacing w:after="240"/>
            </w:pPr>
            <w:r w:rsidRPr="00B237B7">
              <w:rPr>
                <w:b/>
                <w:bCs/>
                <w:color w:val="000000"/>
                <w:sz w:val="24"/>
                <w:szCs w:val="24"/>
              </w:rPr>
              <w:t>Actuarial certification</w:t>
            </w:r>
          </w:p>
          <w:p w14:paraId="1D707471" w14:textId="3FA5DE4E" w:rsidR="0080066A" w:rsidRDefault="0080066A" w:rsidP="009E1EB7">
            <w:pPr>
              <w:tabs>
                <w:tab w:val="center" w:pos="4320"/>
                <w:tab w:val="right" w:pos="8640"/>
              </w:tabs>
              <w:spacing w:after="240"/>
            </w:pPr>
            <w:r w:rsidRPr="00B237B7">
              <w:rPr>
                <w:color w:val="000000"/>
                <w:spacing w:val="-1"/>
                <w:sz w:val="24"/>
                <w:szCs w:val="24"/>
              </w:rPr>
              <w:t xml:space="preserve">Actuarial certification of the methods used and the final rates </w:t>
            </w:r>
            <w:r w:rsidR="009E1EB7">
              <w:rPr>
                <w:color w:val="000000"/>
                <w:spacing w:val="-1"/>
                <w:sz w:val="24"/>
                <w:szCs w:val="24"/>
              </w:rPr>
              <w:t xml:space="preserve">is </w:t>
            </w:r>
            <w:r w:rsidRPr="00B237B7">
              <w:rPr>
                <w:color w:val="000000"/>
                <w:spacing w:val="-1"/>
                <w:sz w:val="24"/>
                <w:szCs w:val="24"/>
              </w:rPr>
              <w:t xml:space="preserve">found </w:t>
            </w:r>
            <w:r w:rsidRPr="007245B0">
              <w:rPr>
                <w:color w:val="000000"/>
                <w:spacing w:val="-1"/>
                <w:sz w:val="24"/>
                <w:szCs w:val="24"/>
              </w:rPr>
              <w:t xml:space="preserve">in </w:t>
            </w:r>
            <w:r w:rsidR="002D3BF0">
              <w:rPr>
                <w:color w:val="000000"/>
                <w:sz w:val="24"/>
                <w:szCs w:val="24"/>
              </w:rPr>
              <w:t>Attachment B</w:t>
            </w:r>
            <w:r w:rsidRPr="00DC31DC">
              <w:rPr>
                <w:color w:val="000000"/>
                <w:sz w:val="24"/>
                <w:szCs w:val="24"/>
              </w:rPr>
              <w:t>.</w:t>
            </w:r>
          </w:p>
        </w:tc>
      </w:tr>
      <w:tr w:rsidR="00E25CF6" w14:paraId="325E2577" w14:textId="77777777" w:rsidTr="007C7803">
        <w:tc>
          <w:tcPr>
            <w:tcW w:w="2268" w:type="dxa"/>
            <w:shd w:val="clear" w:color="auto" w:fill="auto"/>
          </w:tcPr>
          <w:p w14:paraId="09925E36" w14:textId="77777777" w:rsidR="00E25CF6" w:rsidRDefault="00E25CF6" w:rsidP="000B1368">
            <w:pPr>
              <w:spacing w:after="240"/>
              <w:rPr>
                <w:rFonts w:ascii="Calibri" w:hAnsi="Calibri" w:cs="Calibri"/>
              </w:rPr>
            </w:pPr>
            <w:r w:rsidRPr="00016DD6">
              <w:rPr>
                <w:rFonts w:ascii="Calibri" w:hAnsi="Calibri" w:cs="Calibri"/>
              </w:rPr>
              <w:t>AA.1.2</w:t>
            </w:r>
          </w:p>
          <w:p w14:paraId="3C70FEA2" w14:textId="25BAF59E" w:rsidR="00E25CF6" w:rsidRPr="00B237B7" w:rsidRDefault="00E25CF6" w:rsidP="009E1EB7">
            <w:pPr>
              <w:spacing w:after="240"/>
              <w:rPr>
                <w:rFonts w:ascii="Calibri" w:hAnsi="Calibri" w:cs="Calibri"/>
              </w:rPr>
            </w:pPr>
            <w:r>
              <w:rPr>
                <w:rFonts w:ascii="Calibri" w:hAnsi="Calibri" w:cs="Calibri"/>
              </w:rPr>
              <w:t>The State must provide a projection of expenditures under the previous contract compared to those projected under the proposed contract.</w:t>
            </w:r>
          </w:p>
        </w:tc>
        <w:tc>
          <w:tcPr>
            <w:tcW w:w="7337" w:type="dxa"/>
            <w:shd w:val="clear" w:color="auto" w:fill="auto"/>
          </w:tcPr>
          <w:p w14:paraId="55E566D7" w14:textId="77777777" w:rsidR="00E25CF6" w:rsidRPr="00DC31DC" w:rsidRDefault="00E25CF6" w:rsidP="00B237B7">
            <w:pPr>
              <w:shd w:val="clear" w:color="auto" w:fill="FFFFFF"/>
              <w:tabs>
                <w:tab w:val="left" w:pos="1447"/>
                <w:tab w:val="center" w:pos="4320"/>
                <w:tab w:val="right" w:pos="8640"/>
              </w:tabs>
              <w:spacing w:after="240"/>
            </w:pPr>
            <w:r w:rsidRPr="00DC31DC">
              <w:rPr>
                <w:b/>
                <w:bCs/>
                <w:color w:val="000000"/>
                <w:sz w:val="24"/>
                <w:szCs w:val="24"/>
              </w:rPr>
              <w:t>Projection of Costs</w:t>
            </w:r>
          </w:p>
          <w:p w14:paraId="5CA725B6" w14:textId="594E23A9" w:rsidR="004E0867" w:rsidRPr="009E1EB7" w:rsidRDefault="002D3BF0" w:rsidP="00492426">
            <w:pPr>
              <w:tabs>
                <w:tab w:val="center" w:pos="4320"/>
                <w:tab w:val="right" w:pos="8640"/>
              </w:tabs>
              <w:spacing w:after="240"/>
              <w:rPr>
                <w:color w:val="000000"/>
                <w:sz w:val="24"/>
                <w:szCs w:val="24"/>
              </w:rPr>
            </w:pPr>
            <w:r>
              <w:rPr>
                <w:color w:val="000000"/>
                <w:spacing w:val="-1"/>
                <w:sz w:val="24"/>
                <w:szCs w:val="24"/>
              </w:rPr>
              <w:t>Attachment C</w:t>
            </w:r>
            <w:r w:rsidR="00E25CF6" w:rsidRPr="00DC31DC">
              <w:rPr>
                <w:color w:val="000000"/>
                <w:spacing w:val="-1"/>
                <w:sz w:val="24"/>
                <w:szCs w:val="24"/>
              </w:rPr>
              <w:t xml:space="preserve"> shows Milliman’s Projection of Costs for the Senior program</w:t>
            </w:r>
            <w:r w:rsidR="00E25CF6" w:rsidRPr="00795525">
              <w:rPr>
                <w:color w:val="000000"/>
                <w:spacing w:val="-1"/>
                <w:sz w:val="24"/>
                <w:szCs w:val="24"/>
              </w:rPr>
              <w:t>s for</w:t>
            </w:r>
            <w:r w:rsidR="00492426" w:rsidRPr="00795525">
              <w:t xml:space="preserve"> </w:t>
            </w:r>
            <w:r w:rsidR="00492426" w:rsidRPr="00795525">
              <w:rPr>
                <w:color w:val="000000"/>
                <w:spacing w:val="-1"/>
                <w:sz w:val="24"/>
                <w:szCs w:val="24"/>
              </w:rPr>
              <w:t>the upcoming year</w:t>
            </w:r>
            <w:r w:rsidR="00E25CF6" w:rsidRPr="00795525">
              <w:rPr>
                <w:color w:val="000000"/>
                <w:spacing w:val="-1"/>
                <w:sz w:val="24"/>
                <w:szCs w:val="24"/>
              </w:rPr>
              <w:t xml:space="preserve">.  This projection compares the rates in effect </w:t>
            </w:r>
            <w:r w:rsidR="00795525">
              <w:rPr>
                <w:color w:val="000000"/>
                <w:spacing w:val="-1"/>
                <w:sz w:val="24"/>
                <w:szCs w:val="24"/>
              </w:rPr>
              <w:t xml:space="preserve">in the last quarter of </w:t>
            </w:r>
            <w:r w:rsidR="00E25CF6" w:rsidRPr="00795525">
              <w:rPr>
                <w:color w:val="000000"/>
                <w:spacing w:val="-1"/>
                <w:sz w:val="24"/>
                <w:szCs w:val="24"/>
              </w:rPr>
              <w:t>CY 201</w:t>
            </w:r>
            <w:r w:rsidR="00286182" w:rsidRPr="00795525">
              <w:rPr>
                <w:color w:val="000000"/>
                <w:spacing w:val="-1"/>
                <w:sz w:val="24"/>
                <w:szCs w:val="24"/>
              </w:rPr>
              <w:t>4</w:t>
            </w:r>
            <w:r w:rsidR="00E25CF6" w:rsidRPr="00795525">
              <w:rPr>
                <w:color w:val="000000"/>
                <w:spacing w:val="-1"/>
                <w:sz w:val="24"/>
                <w:szCs w:val="24"/>
              </w:rPr>
              <w:t xml:space="preserve"> to the new rates effective January 1, 201</w:t>
            </w:r>
            <w:r w:rsidR="00286182" w:rsidRPr="00795525">
              <w:rPr>
                <w:color w:val="000000"/>
                <w:spacing w:val="-1"/>
                <w:sz w:val="24"/>
                <w:szCs w:val="24"/>
              </w:rPr>
              <w:t>5</w:t>
            </w:r>
            <w:r w:rsidR="00E25CF6" w:rsidRPr="00795525">
              <w:rPr>
                <w:color w:val="000000"/>
                <w:spacing w:val="-1"/>
                <w:sz w:val="24"/>
                <w:szCs w:val="24"/>
              </w:rPr>
              <w:t xml:space="preserve"> using December 201</w:t>
            </w:r>
            <w:r w:rsidR="00286182" w:rsidRPr="00795525">
              <w:rPr>
                <w:color w:val="000000"/>
                <w:spacing w:val="-1"/>
                <w:sz w:val="24"/>
                <w:szCs w:val="24"/>
              </w:rPr>
              <w:t>4</w:t>
            </w:r>
            <w:r w:rsidR="00E25CF6" w:rsidRPr="00795525">
              <w:rPr>
                <w:color w:val="000000"/>
                <w:spacing w:val="-1"/>
                <w:sz w:val="24"/>
                <w:szCs w:val="24"/>
              </w:rPr>
              <w:t xml:space="preserve"> </w:t>
            </w:r>
            <w:r w:rsidR="00E25CF6" w:rsidRPr="00795525">
              <w:rPr>
                <w:color w:val="000000"/>
                <w:sz w:val="24"/>
                <w:szCs w:val="24"/>
              </w:rPr>
              <w:t>enrollments.  Total monthly expenditures using CY 201</w:t>
            </w:r>
            <w:r w:rsidR="00795525">
              <w:rPr>
                <w:color w:val="000000"/>
                <w:sz w:val="24"/>
                <w:szCs w:val="24"/>
              </w:rPr>
              <w:t>4</w:t>
            </w:r>
            <w:r w:rsidR="00E25CF6" w:rsidRPr="00795525">
              <w:rPr>
                <w:color w:val="000000"/>
                <w:sz w:val="24"/>
                <w:szCs w:val="24"/>
              </w:rPr>
              <w:t xml:space="preserve"> rates </w:t>
            </w:r>
            <w:r w:rsidR="00E25CF6" w:rsidRPr="00795525">
              <w:rPr>
                <w:color w:val="000000"/>
                <w:spacing w:val="-1"/>
                <w:sz w:val="24"/>
                <w:szCs w:val="24"/>
              </w:rPr>
              <w:t>were $</w:t>
            </w:r>
            <w:r w:rsidR="00795525">
              <w:rPr>
                <w:color w:val="000000"/>
                <w:spacing w:val="-1"/>
                <w:sz w:val="24"/>
                <w:szCs w:val="24"/>
              </w:rPr>
              <w:t>69,563,493</w:t>
            </w:r>
            <w:r w:rsidR="00E25CF6" w:rsidRPr="00795525">
              <w:rPr>
                <w:color w:val="000000"/>
                <w:spacing w:val="-1"/>
                <w:sz w:val="24"/>
                <w:szCs w:val="24"/>
              </w:rPr>
              <w:t xml:space="preserve">.  </w:t>
            </w:r>
            <w:r w:rsidR="00795525">
              <w:rPr>
                <w:color w:val="000000"/>
                <w:spacing w:val="-1"/>
                <w:sz w:val="24"/>
                <w:szCs w:val="24"/>
              </w:rPr>
              <w:t>P</w:t>
            </w:r>
            <w:r w:rsidR="00E25CF6" w:rsidRPr="00795525">
              <w:rPr>
                <w:color w:val="000000"/>
                <w:spacing w:val="-1"/>
                <w:sz w:val="24"/>
                <w:szCs w:val="24"/>
              </w:rPr>
              <w:t>rojected monthly expenditures for 201</w:t>
            </w:r>
            <w:r w:rsidR="00286182" w:rsidRPr="00795525">
              <w:rPr>
                <w:color w:val="000000"/>
                <w:spacing w:val="-1"/>
                <w:sz w:val="24"/>
                <w:szCs w:val="24"/>
              </w:rPr>
              <w:t>5</w:t>
            </w:r>
            <w:r w:rsidR="00E25CF6" w:rsidRPr="00795525">
              <w:rPr>
                <w:color w:val="000000"/>
                <w:spacing w:val="-1"/>
                <w:sz w:val="24"/>
                <w:szCs w:val="24"/>
              </w:rPr>
              <w:t xml:space="preserve"> </w:t>
            </w:r>
            <w:r w:rsidR="00E25CF6" w:rsidRPr="00795525">
              <w:rPr>
                <w:color w:val="000000"/>
                <w:sz w:val="24"/>
                <w:szCs w:val="24"/>
              </w:rPr>
              <w:t>will be $</w:t>
            </w:r>
            <w:r w:rsidR="00795525">
              <w:rPr>
                <w:color w:val="000000"/>
                <w:sz w:val="24"/>
                <w:szCs w:val="24"/>
              </w:rPr>
              <w:t>71,058,934</w:t>
            </w:r>
            <w:r w:rsidR="00E25CF6" w:rsidRPr="00795525">
              <w:rPr>
                <w:color w:val="000000"/>
                <w:sz w:val="24"/>
                <w:szCs w:val="24"/>
              </w:rPr>
              <w:t xml:space="preserve"> for an overall </w:t>
            </w:r>
            <w:r w:rsidR="00A955E0" w:rsidRPr="00795525">
              <w:rPr>
                <w:color w:val="000000"/>
                <w:sz w:val="24"/>
                <w:szCs w:val="24"/>
              </w:rPr>
              <w:t>increase</w:t>
            </w:r>
            <w:r w:rsidR="00E25CF6" w:rsidRPr="00795525">
              <w:rPr>
                <w:color w:val="000000"/>
                <w:sz w:val="24"/>
                <w:szCs w:val="24"/>
              </w:rPr>
              <w:t xml:space="preserve"> of </w:t>
            </w:r>
            <w:r w:rsidR="00795525">
              <w:rPr>
                <w:color w:val="000000"/>
                <w:sz w:val="24"/>
                <w:szCs w:val="24"/>
              </w:rPr>
              <w:t>2.1</w:t>
            </w:r>
            <w:r w:rsidR="00E25CF6" w:rsidRPr="00795525">
              <w:rPr>
                <w:color w:val="000000"/>
                <w:sz w:val="24"/>
                <w:szCs w:val="24"/>
              </w:rPr>
              <w:t>%.</w:t>
            </w:r>
            <w:r w:rsidR="00E25CF6" w:rsidRPr="00D17339">
              <w:rPr>
                <w:color w:val="000000"/>
                <w:sz w:val="24"/>
                <w:szCs w:val="24"/>
              </w:rPr>
              <w:t xml:space="preserve">  </w:t>
            </w:r>
            <w:r w:rsidR="00E25CF6" w:rsidRPr="00DC31DC">
              <w:rPr>
                <w:color w:val="000000"/>
                <w:sz w:val="24"/>
                <w:szCs w:val="24"/>
              </w:rPr>
              <w:t xml:space="preserve"> </w:t>
            </w:r>
          </w:p>
        </w:tc>
      </w:tr>
      <w:tr w:rsidR="00E25CF6" w14:paraId="6D374CF5" w14:textId="77777777" w:rsidTr="007C7803">
        <w:tc>
          <w:tcPr>
            <w:tcW w:w="2268" w:type="dxa"/>
            <w:shd w:val="clear" w:color="auto" w:fill="auto"/>
          </w:tcPr>
          <w:p w14:paraId="284088AF" w14:textId="6BCD757B" w:rsidR="00E25CF6" w:rsidRDefault="00E25CF6" w:rsidP="000B1368">
            <w:pPr>
              <w:spacing w:after="240"/>
              <w:rPr>
                <w:rFonts w:ascii="Calibri" w:hAnsi="Calibri" w:cs="Calibri"/>
              </w:rPr>
            </w:pPr>
            <w:r w:rsidRPr="00016DD6">
              <w:rPr>
                <w:rFonts w:ascii="Calibri" w:hAnsi="Calibri" w:cs="Calibri"/>
              </w:rPr>
              <w:t>AA.1.3</w:t>
            </w:r>
            <w:r w:rsidR="00400857">
              <w:rPr>
                <w:rFonts w:ascii="Calibri" w:hAnsi="Calibri" w:cs="Calibri"/>
              </w:rPr>
              <w:t xml:space="preserve">  A</w:t>
            </w:r>
            <w:r>
              <w:rPr>
                <w:rFonts w:ascii="Calibri" w:hAnsi="Calibri" w:cs="Calibri"/>
              </w:rPr>
              <w:t xml:space="preserve">ll contracts must meet 45 CFR Part 74 regulatory requirements. </w:t>
            </w:r>
          </w:p>
          <w:p w14:paraId="4EC85FD7" w14:textId="77777777" w:rsidR="00E25CF6" w:rsidRDefault="00E25CF6" w:rsidP="000B1368">
            <w:pPr>
              <w:spacing w:after="240"/>
              <w:rPr>
                <w:rFonts w:ascii="Calibri" w:hAnsi="Calibri" w:cs="Calibri"/>
              </w:rPr>
            </w:pPr>
            <w:r>
              <w:rPr>
                <w:rFonts w:ascii="Calibri" w:hAnsi="Calibri" w:cs="Calibri"/>
              </w:rPr>
              <w:t xml:space="preserve">Two options: </w:t>
            </w:r>
          </w:p>
          <w:p w14:paraId="781192C5" w14:textId="77777777" w:rsidR="00E25CF6" w:rsidRDefault="00E25CF6" w:rsidP="000B1368">
            <w:pPr>
              <w:spacing w:after="240"/>
              <w:rPr>
                <w:rFonts w:ascii="Calibri" w:hAnsi="Calibri" w:cs="Calibri"/>
              </w:rPr>
            </w:pPr>
            <w:r>
              <w:rPr>
                <w:rFonts w:ascii="Calibri" w:hAnsi="Calibri" w:cs="Calibri"/>
              </w:rPr>
              <w:t xml:space="preserve">1) State set rates are developed using federal regulations. These may be open cooperative or sole source. </w:t>
            </w:r>
          </w:p>
          <w:p w14:paraId="55387D56"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2) Competitive bidding offered on a rate range and negotiated within the range. </w:t>
            </w:r>
          </w:p>
        </w:tc>
        <w:tc>
          <w:tcPr>
            <w:tcW w:w="7337" w:type="dxa"/>
            <w:shd w:val="clear" w:color="auto" w:fill="auto"/>
          </w:tcPr>
          <w:p w14:paraId="732D2A20"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t>Procurement, Prior Approval and Rate Setting</w:t>
            </w:r>
          </w:p>
          <w:p w14:paraId="26B5FE52" w14:textId="0EE4EB68" w:rsidR="00E25CF6" w:rsidRPr="00B237B7" w:rsidRDefault="00E25CF6" w:rsidP="00B237B7">
            <w:pPr>
              <w:tabs>
                <w:tab w:val="center" w:pos="4320"/>
                <w:tab w:val="right" w:pos="8640"/>
              </w:tabs>
              <w:spacing w:after="240"/>
              <w:rPr>
                <w:color w:val="000000"/>
                <w:sz w:val="24"/>
                <w:szCs w:val="24"/>
              </w:rPr>
            </w:pPr>
            <w:r w:rsidRPr="00B237B7">
              <w:rPr>
                <w:color w:val="000000"/>
                <w:sz w:val="24"/>
                <w:szCs w:val="24"/>
                <w:u w:val="single"/>
              </w:rPr>
              <w:t>Option 1: State</w:t>
            </w:r>
            <w:r w:rsidR="00921FD5">
              <w:rPr>
                <w:color w:val="000000"/>
                <w:sz w:val="24"/>
                <w:szCs w:val="24"/>
                <w:u w:val="single"/>
              </w:rPr>
              <w:t xml:space="preserve"> </w:t>
            </w:r>
            <w:r w:rsidRPr="00B237B7">
              <w:rPr>
                <w:color w:val="000000"/>
                <w:sz w:val="24"/>
                <w:szCs w:val="24"/>
                <w:u w:val="single"/>
              </w:rPr>
              <w:t>set rates</w:t>
            </w:r>
            <w:r w:rsidRPr="00B237B7">
              <w:rPr>
                <w:color w:val="000000"/>
                <w:sz w:val="24"/>
                <w:szCs w:val="24"/>
              </w:rPr>
              <w:t xml:space="preserve">.  </w:t>
            </w:r>
          </w:p>
          <w:p w14:paraId="519057C3" w14:textId="0F563A87" w:rsidR="00E25CF6" w:rsidRDefault="00E25CF6" w:rsidP="00610946">
            <w:pPr>
              <w:tabs>
                <w:tab w:val="center" w:pos="4320"/>
                <w:tab w:val="right" w:pos="8640"/>
              </w:tabs>
              <w:spacing w:after="240"/>
              <w:rPr>
                <w:color w:val="000000"/>
                <w:sz w:val="24"/>
                <w:szCs w:val="24"/>
              </w:rPr>
            </w:pPr>
            <w:r w:rsidRPr="00B237B7">
              <w:rPr>
                <w:color w:val="000000"/>
                <w:sz w:val="24"/>
                <w:szCs w:val="24"/>
              </w:rPr>
              <w:t>Contracting was done on an open cooperativ</w:t>
            </w:r>
            <w:r w:rsidRPr="00182CC6">
              <w:rPr>
                <w:color w:val="000000"/>
                <w:sz w:val="24"/>
                <w:szCs w:val="24"/>
              </w:rPr>
              <w:t>e basis.  Each MCO serves a different group of counties, with many overlapping service</w:t>
            </w:r>
            <w:r w:rsidRPr="00B237B7">
              <w:rPr>
                <w:color w:val="000000"/>
                <w:sz w:val="24"/>
                <w:szCs w:val="24"/>
              </w:rPr>
              <w:t xml:space="preserve"> areas among them.  The rate methodology was public information available to all MCOs.  They had opportunity to review and respond to the methodology.  Their comments were considered in making revisions to the final methodology.  </w:t>
            </w:r>
          </w:p>
          <w:p w14:paraId="2983A79D" w14:textId="77777777" w:rsidR="00DE7BA5" w:rsidRDefault="00DE7BA5" w:rsidP="00610946">
            <w:pPr>
              <w:tabs>
                <w:tab w:val="center" w:pos="4320"/>
                <w:tab w:val="right" w:pos="8640"/>
              </w:tabs>
              <w:spacing w:after="240"/>
              <w:rPr>
                <w:color w:val="000000"/>
                <w:sz w:val="24"/>
                <w:szCs w:val="24"/>
              </w:rPr>
            </w:pPr>
          </w:p>
          <w:p w14:paraId="106D8578" w14:textId="77777777" w:rsidR="00DE7BA5" w:rsidRDefault="00DE7BA5" w:rsidP="00610946">
            <w:pPr>
              <w:tabs>
                <w:tab w:val="center" w:pos="4320"/>
                <w:tab w:val="right" w:pos="8640"/>
              </w:tabs>
              <w:spacing w:after="240"/>
            </w:pPr>
          </w:p>
          <w:p w14:paraId="54A6029E" w14:textId="77777777" w:rsidR="009E1EB7" w:rsidRDefault="009E1EB7" w:rsidP="00610946">
            <w:pPr>
              <w:tabs>
                <w:tab w:val="center" w:pos="4320"/>
                <w:tab w:val="right" w:pos="8640"/>
              </w:tabs>
              <w:spacing w:after="240"/>
            </w:pPr>
          </w:p>
          <w:p w14:paraId="2EEA4A76" w14:textId="388E9900" w:rsidR="009E1EB7" w:rsidRDefault="009E1EB7" w:rsidP="00610946">
            <w:pPr>
              <w:tabs>
                <w:tab w:val="center" w:pos="4320"/>
                <w:tab w:val="right" w:pos="8640"/>
              </w:tabs>
              <w:spacing w:after="240"/>
            </w:pPr>
          </w:p>
        </w:tc>
      </w:tr>
      <w:tr w:rsidR="00E25CF6" w14:paraId="5309A2CF" w14:textId="77777777" w:rsidTr="007C7803">
        <w:tc>
          <w:tcPr>
            <w:tcW w:w="2268" w:type="dxa"/>
            <w:shd w:val="clear" w:color="auto" w:fill="auto"/>
          </w:tcPr>
          <w:p w14:paraId="7D9046C4" w14:textId="77777777" w:rsidR="00E25CF6" w:rsidRPr="00016DD6" w:rsidRDefault="00E25CF6" w:rsidP="000B1368">
            <w:pPr>
              <w:spacing w:after="240"/>
              <w:rPr>
                <w:rFonts w:ascii="Calibri" w:hAnsi="Calibri" w:cs="Calibri"/>
              </w:rPr>
            </w:pPr>
            <w:r w:rsidRPr="00016DD6">
              <w:rPr>
                <w:rFonts w:ascii="Calibri" w:hAnsi="Calibri" w:cs="Calibri"/>
              </w:rPr>
              <w:lastRenderedPageBreak/>
              <w:t>AA.1.5</w:t>
            </w:r>
            <w:r w:rsidRPr="00016DD6">
              <w:rPr>
                <w:rFonts w:ascii="Calibri" w:hAnsi="Calibri" w:cs="Calibri"/>
              </w:rPr>
              <w:tab/>
            </w:r>
          </w:p>
          <w:p w14:paraId="22F7BF79"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The MCO assumes risk and must accept the rates as payment in full. All payments are MA costs.  </w:t>
            </w:r>
          </w:p>
        </w:tc>
        <w:tc>
          <w:tcPr>
            <w:tcW w:w="7337" w:type="dxa"/>
            <w:shd w:val="clear" w:color="auto" w:fill="auto"/>
          </w:tcPr>
          <w:p w14:paraId="15793896"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t>Risk contracts</w:t>
            </w:r>
          </w:p>
          <w:p w14:paraId="667C8BBC" w14:textId="1CF44A57" w:rsidR="00E25CF6" w:rsidRDefault="00E25CF6" w:rsidP="00DE7BA5">
            <w:pPr>
              <w:tabs>
                <w:tab w:val="center" w:pos="4320"/>
                <w:tab w:val="right" w:pos="8640"/>
              </w:tabs>
              <w:spacing w:after="240"/>
            </w:pPr>
            <w:r w:rsidRPr="00B237B7">
              <w:rPr>
                <w:color w:val="000000"/>
                <w:sz w:val="24"/>
                <w:szCs w:val="24"/>
              </w:rPr>
              <w:t xml:space="preserve">MCOs bear full risk for their </w:t>
            </w:r>
            <w:r w:rsidRPr="00D263CA">
              <w:rPr>
                <w:color w:val="000000"/>
                <w:sz w:val="24"/>
                <w:szCs w:val="24"/>
              </w:rPr>
              <w:t>enrollees for the services covered by the contract.  See section 4.8.1 of the Seniors Contract.  All costs are</w:t>
            </w:r>
            <w:r w:rsidR="00E21725" w:rsidRPr="00E21725">
              <w:rPr>
                <w:color w:val="000000"/>
                <w:sz w:val="24"/>
                <w:szCs w:val="24"/>
              </w:rPr>
              <w:t xml:space="preserve"> for Medical Assistance Services covered under the State Plan.</w:t>
            </w:r>
            <w:r w:rsidRPr="00B237B7">
              <w:rPr>
                <w:color w:val="000000"/>
                <w:sz w:val="24"/>
                <w:szCs w:val="24"/>
              </w:rPr>
              <w:t xml:space="preserve">  </w:t>
            </w:r>
            <w:r w:rsidR="00DE7BA5" w:rsidRPr="00DE7BA5">
              <w:rPr>
                <w:color w:val="000000"/>
                <w:sz w:val="24"/>
                <w:szCs w:val="24"/>
              </w:rPr>
              <w:t xml:space="preserve">Additional expenditures </w:t>
            </w:r>
            <w:r w:rsidR="00DE7BA5">
              <w:rPr>
                <w:color w:val="000000"/>
                <w:sz w:val="24"/>
                <w:szCs w:val="24"/>
              </w:rPr>
              <w:t>that MCOs may have made for non-covered S</w:t>
            </w:r>
            <w:r w:rsidR="00DE7BA5" w:rsidRPr="00DE7BA5">
              <w:rPr>
                <w:color w:val="000000"/>
                <w:sz w:val="24"/>
                <w:szCs w:val="24"/>
              </w:rPr>
              <w:t xml:space="preserve">tate </w:t>
            </w:r>
            <w:r w:rsidR="00DE7BA5">
              <w:rPr>
                <w:color w:val="000000"/>
                <w:sz w:val="24"/>
                <w:szCs w:val="24"/>
              </w:rPr>
              <w:t>P</w:t>
            </w:r>
            <w:r w:rsidR="00DE7BA5" w:rsidRPr="00DE7BA5">
              <w:rPr>
                <w:color w:val="000000"/>
                <w:sz w:val="24"/>
                <w:szCs w:val="24"/>
              </w:rPr>
              <w:t xml:space="preserve">lan services </w:t>
            </w:r>
            <w:r w:rsidR="00DE7BA5">
              <w:rPr>
                <w:color w:val="000000"/>
                <w:sz w:val="24"/>
                <w:szCs w:val="24"/>
              </w:rPr>
              <w:t>are not included in rates</w:t>
            </w:r>
            <w:r w:rsidR="00DE7BA5" w:rsidRPr="00DE7BA5">
              <w:rPr>
                <w:color w:val="000000"/>
                <w:sz w:val="24"/>
                <w:szCs w:val="24"/>
              </w:rPr>
              <w:t>.</w:t>
            </w:r>
          </w:p>
        </w:tc>
      </w:tr>
      <w:tr w:rsidR="00E25CF6" w14:paraId="19EB695C" w14:textId="77777777" w:rsidTr="007C7803">
        <w:tc>
          <w:tcPr>
            <w:tcW w:w="2268" w:type="dxa"/>
            <w:shd w:val="clear" w:color="auto" w:fill="auto"/>
          </w:tcPr>
          <w:p w14:paraId="33B7AE2D" w14:textId="77777777" w:rsidR="00E25CF6" w:rsidRDefault="00E25CF6" w:rsidP="000B1368">
            <w:pPr>
              <w:spacing w:after="240"/>
              <w:rPr>
                <w:rFonts w:ascii="Calibri" w:hAnsi="Calibri" w:cs="Calibri"/>
              </w:rPr>
            </w:pPr>
            <w:r w:rsidRPr="00016DD6">
              <w:rPr>
                <w:rFonts w:ascii="Calibri" w:hAnsi="Calibri" w:cs="Calibri"/>
              </w:rPr>
              <w:t>AA.1.6</w:t>
            </w:r>
          </w:p>
          <w:p w14:paraId="28A1B90F" w14:textId="6E14BC0D"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The State must ensure that no provider  payment is made outside of the rates, except GME and other statutory exceptions. </w:t>
            </w:r>
          </w:p>
        </w:tc>
        <w:tc>
          <w:tcPr>
            <w:tcW w:w="7337" w:type="dxa"/>
            <w:shd w:val="clear" w:color="auto" w:fill="auto"/>
          </w:tcPr>
          <w:p w14:paraId="5F453D94"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t>Limit on payment to other providers</w:t>
            </w:r>
          </w:p>
          <w:p w14:paraId="7E583B64" w14:textId="1555C7A9" w:rsidR="00E25CF6" w:rsidRDefault="00E25CF6" w:rsidP="00DE7BA5">
            <w:pPr>
              <w:tabs>
                <w:tab w:val="center" w:pos="4320"/>
                <w:tab w:val="right" w:pos="8640"/>
              </w:tabs>
              <w:spacing w:after="240"/>
            </w:pPr>
            <w:r w:rsidRPr="00B237B7">
              <w:rPr>
                <w:color w:val="000000"/>
                <w:sz w:val="24"/>
                <w:szCs w:val="24"/>
              </w:rPr>
              <w:t>MCOs are responsible for all services covered by the contract.  The monthly capitation is full payment for those services.  Additional covered Medicaid services which are not part of the MCO’s contractual responsibility (</w:t>
            </w:r>
            <w:r w:rsidR="00286182">
              <w:rPr>
                <w:color w:val="000000"/>
                <w:sz w:val="24"/>
                <w:szCs w:val="24"/>
              </w:rPr>
              <w:t xml:space="preserve">for example, </w:t>
            </w:r>
            <w:r w:rsidRPr="00B237B7">
              <w:rPr>
                <w:color w:val="000000"/>
                <w:sz w:val="24"/>
                <w:szCs w:val="24"/>
              </w:rPr>
              <w:t>NF services beyond the first 180 days) may be paid by the State on a FFS</w:t>
            </w:r>
            <w:r w:rsidR="00E21725">
              <w:rPr>
                <w:color w:val="000000"/>
                <w:sz w:val="24"/>
                <w:szCs w:val="24"/>
              </w:rPr>
              <w:t xml:space="preserve"> basis</w:t>
            </w:r>
            <w:r w:rsidRPr="00B237B7">
              <w:rPr>
                <w:color w:val="000000"/>
                <w:sz w:val="24"/>
                <w:szCs w:val="24"/>
              </w:rPr>
              <w:t xml:space="preserve">.  The State has Medicaid Management Information System (MMIS) edits in place to </w:t>
            </w:r>
            <w:r w:rsidR="00E21725">
              <w:rPr>
                <w:color w:val="000000"/>
                <w:sz w:val="24"/>
                <w:szCs w:val="24"/>
              </w:rPr>
              <w:t xml:space="preserve">deny </w:t>
            </w:r>
            <w:r w:rsidRPr="00B237B7">
              <w:rPr>
                <w:color w:val="000000"/>
                <w:sz w:val="24"/>
                <w:szCs w:val="24"/>
              </w:rPr>
              <w:t xml:space="preserve">payment of FFS claims for a service covered under the contract.  </w:t>
            </w:r>
          </w:p>
        </w:tc>
      </w:tr>
      <w:tr w:rsidR="00E25CF6" w14:paraId="13EF5025" w14:textId="77777777" w:rsidTr="007C7803">
        <w:tc>
          <w:tcPr>
            <w:tcW w:w="2268" w:type="dxa"/>
            <w:shd w:val="clear" w:color="auto" w:fill="auto"/>
          </w:tcPr>
          <w:p w14:paraId="62932391" w14:textId="7E618222" w:rsidR="00E25CF6" w:rsidRPr="00B237B7" w:rsidRDefault="00E25CF6" w:rsidP="00065635">
            <w:pPr>
              <w:spacing w:after="240"/>
              <w:rPr>
                <w:rFonts w:ascii="Calibri" w:hAnsi="Calibri" w:cs="Calibri"/>
              </w:rPr>
            </w:pPr>
            <w:r w:rsidRPr="00016DD6">
              <w:rPr>
                <w:rFonts w:ascii="Calibri" w:hAnsi="Calibri" w:cs="Calibri"/>
              </w:rPr>
              <w:t xml:space="preserve">AA.1.7 </w:t>
            </w:r>
            <w:r>
              <w:rPr>
                <w:rFonts w:ascii="Calibri" w:hAnsi="Calibri" w:cs="Calibri"/>
              </w:rPr>
              <w:t>Modified rates include adjustments for program structure and medical trend. Trends are documented and justified. Previous changes must be backed out if applicable. Changes must be in a formal amendment.</w:t>
            </w:r>
          </w:p>
        </w:tc>
        <w:tc>
          <w:tcPr>
            <w:tcW w:w="7337" w:type="dxa"/>
            <w:shd w:val="clear" w:color="auto" w:fill="auto"/>
          </w:tcPr>
          <w:p w14:paraId="41C8534F"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Rate Modifications</w:t>
            </w:r>
          </w:p>
          <w:p w14:paraId="6F29296F" w14:textId="07B666C3" w:rsidR="003E48D8" w:rsidRDefault="003E48D8" w:rsidP="003504EF">
            <w:pPr>
              <w:tabs>
                <w:tab w:val="center" w:pos="4320"/>
                <w:tab w:val="right" w:pos="8640"/>
              </w:tabs>
              <w:spacing w:after="240"/>
              <w:rPr>
                <w:color w:val="000000"/>
                <w:spacing w:val="-1"/>
                <w:sz w:val="24"/>
                <w:szCs w:val="24"/>
              </w:rPr>
            </w:pPr>
            <w:r w:rsidRPr="003E48D8">
              <w:rPr>
                <w:color w:val="000000"/>
                <w:spacing w:val="-1"/>
                <w:sz w:val="24"/>
                <w:szCs w:val="24"/>
              </w:rPr>
              <w:t xml:space="preserve">See Attachment A, pages 4 through </w:t>
            </w:r>
            <w:r>
              <w:rPr>
                <w:color w:val="000000"/>
                <w:spacing w:val="-1"/>
                <w:sz w:val="24"/>
                <w:szCs w:val="24"/>
              </w:rPr>
              <w:t>14</w:t>
            </w:r>
            <w:r w:rsidRPr="003E48D8">
              <w:rPr>
                <w:color w:val="000000"/>
                <w:spacing w:val="-1"/>
                <w:sz w:val="24"/>
                <w:szCs w:val="24"/>
              </w:rPr>
              <w:t xml:space="preserve">,  for a discussion of all programmatic changes, factors and assumptions applied to rate development for the upcoming year.  Rates are adjusted for enrollment, benefits, and trend changes since the previous rates.  See Attachment A, pages </w:t>
            </w:r>
            <w:r w:rsidR="003D1DF0">
              <w:rPr>
                <w:color w:val="000000"/>
                <w:spacing w:val="-1"/>
                <w:sz w:val="24"/>
                <w:szCs w:val="24"/>
              </w:rPr>
              <w:t>4-5</w:t>
            </w:r>
            <w:r w:rsidRPr="003E48D8">
              <w:rPr>
                <w:color w:val="000000"/>
                <w:spacing w:val="-1"/>
                <w:sz w:val="24"/>
                <w:szCs w:val="24"/>
              </w:rPr>
              <w:t xml:space="preserve"> for a discussion of trends.</w:t>
            </w:r>
          </w:p>
          <w:p w14:paraId="3D30CB2D" w14:textId="77777777" w:rsidR="00E25CF6" w:rsidRDefault="00E25CF6" w:rsidP="003504EF">
            <w:pPr>
              <w:tabs>
                <w:tab w:val="center" w:pos="4320"/>
                <w:tab w:val="right" w:pos="8640"/>
              </w:tabs>
              <w:spacing w:after="240"/>
            </w:pPr>
            <w:r>
              <w:rPr>
                <w:color w:val="000000"/>
                <w:spacing w:val="-1"/>
                <w:sz w:val="24"/>
                <w:szCs w:val="24"/>
              </w:rPr>
              <w:t>For any changes made during the contract year to eligibility, benefits or rates, t</w:t>
            </w:r>
            <w:r w:rsidRPr="00B237B7">
              <w:rPr>
                <w:color w:val="000000"/>
                <w:spacing w:val="-1"/>
                <w:sz w:val="24"/>
                <w:szCs w:val="24"/>
              </w:rPr>
              <w:t xml:space="preserve">he State </w:t>
            </w:r>
            <w:r>
              <w:rPr>
                <w:color w:val="000000"/>
                <w:spacing w:val="-1"/>
                <w:sz w:val="24"/>
                <w:szCs w:val="24"/>
              </w:rPr>
              <w:t>will</w:t>
            </w:r>
            <w:r w:rsidRPr="00B237B7">
              <w:rPr>
                <w:color w:val="000000"/>
                <w:spacing w:val="-1"/>
                <w:sz w:val="24"/>
                <w:szCs w:val="24"/>
              </w:rPr>
              <w:t xml:space="preserve"> submit such amendments to the CMS </w:t>
            </w:r>
            <w:r w:rsidRPr="00B237B7">
              <w:rPr>
                <w:color w:val="000000"/>
                <w:sz w:val="24"/>
                <w:szCs w:val="24"/>
              </w:rPr>
              <w:t>Regional Office for approval.</w:t>
            </w:r>
          </w:p>
        </w:tc>
      </w:tr>
      <w:tr w:rsidR="00E25CF6" w14:paraId="15724766" w14:textId="77777777" w:rsidTr="007C7803">
        <w:tc>
          <w:tcPr>
            <w:tcW w:w="2268" w:type="dxa"/>
            <w:shd w:val="clear" w:color="auto" w:fill="auto"/>
          </w:tcPr>
          <w:p w14:paraId="5EE26A44" w14:textId="77777777" w:rsidR="00E25CF6" w:rsidRPr="00016DD6" w:rsidRDefault="00E25CF6" w:rsidP="000B1368">
            <w:pPr>
              <w:spacing w:after="240"/>
              <w:rPr>
                <w:rFonts w:ascii="Calibri" w:hAnsi="Calibri" w:cs="Calibri"/>
              </w:rPr>
            </w:pPr>
            <w:r w:rsidRPr="00016DD6">
              <w:rPr>
                <w:rFonts w:ascii="Calibri" w:hAnsi="Calibri" w:cs="Calibri"/>
              </w:rPr>
              <w:t xml:space="preserve">AA.2.0  </w:t>
            </w:r>
          </w:p>
          <w:p w14:paraId="2F138FD7"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The State must assure that rates are based only on State Plan services (and directly related costs) and provided to eligible persons. Utilization and cost data must be derived from or adjusted to the Medicaid population. </w:t>
            </w:r>
          </w:p>
        </w:tc>
        <w:tc>
          <w:tcPr>
            <w:tcW w:w="7337" w:type="dxa"/>
            <w:shd w:val="clear" w:color="auto" w:fill="auto"/>
          </w:tcPr>
          <w:p w14:paraId="1C81FC7B"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t>Base Year Utilization and Cost Data</w:t>
            </w:r>
          </w:p>
          <w:p w14:paraId="41BFB833" w14:textId="77777777" w:rsidR="00E25CF6" w:rsidRPr="00B237B7" w:rsidRDefault="00E25CF6" w:rsidP="00B237B7">
            <w:pPr>
              <w:shd w:val="clear" w:color="auto" w:fill="FFFFFF"/>
              <w:tabs>
                <w:tab w:val="center" w:pos="4320"/>
                <w:tab w:val="right" w:pos="8640"/>
              </w:tabs>
              <w:spacing w:after="240"/>
              <w:rPr>
                <w:u w:val="single"/>
              </w:rPr>
            </w:pPr>
            <w:r w:rsidRPr="00B237B7">
              <w:rPr>
                <w:bCs/>
                <w:color w:val="000000"/>
                <w:spacing w:val="-1"/>
                <w:sz w:val="24"/>
                <w:szCs w:val="24"/>
                <w:u w:val="single"/>
              </w:rPr>
              <w:t>Basic Care Rates</w:t>
            </w:r>
          </w:p>
          <w:p w14:paraId="730A5B3C" w14:textId="215B2DDB" w:rsidR="00E25CF6" w:rsidRPr="003F6BB2" w:rsidRDefault="00E25CF6" w:rsidP="00B237B7">
            <w:pPr>
              <w:shd w:val="clear" w:color="auto" w:fill="FFFFFF"/>
              <w:tabs>
                <w:tab w:val="center" w:pos="4320"/>
                <w:tab w:val="right" w:pos="8640"/>
              </w:tabs>
              <w:spacing w:after="240"/>
            </w:pPr>
            <w:r w:rsidRPr="00182CC6">
              <w:rPr>
                <w:color w:val="000000"/>
                <w:spacing w:val="-1"/>
                <w:sz w:val="24"/>
                <w:szCs w:val="24"/>
              </w:rPr>
              <w:t xml:space="preserve">The base year data </w:t>
            </w:r>
            <w:r w:rsidRPr="00182CC6">
              <w:rPr>
                <w:color w:val="000000"/>
                <w:sz w:val="24"/>
                <w:szCs w:val="24"/>
              </w:rPr>
              <w:t>used for developing basic care rates for senior products was CY 201</w:t>
            </w:r>
            <w:r w:rsidR="00182CC6" w:rsidRPr="00182CC6">
              <w:rPr>
                <w:color w:val="000000"/>
                <w:sz w:val="24"/>
                <w:szCs w:val="24"/>
              </w:rPr>
              <w:t>3</w:t>
            </w:r>
            <w:r w:rsidRPr="00182CC6">
              <w:rPr>
                <w:color w:val="000000"/>
                <w:sz w:val="24"/>
                <w:szCs w:val="24"/>
              </w:rPr>
              <w:t xml:space="preserve"> actual experience for Medicaid</w:t>
            </w:r>
            <w:r w:rsidRPr="00B237B7">
              <w:rPr>
                <w:color w:val="000000"/>
                <w:sz w:val="24"/>
                <w:szCs w:val="24"/>
              </w:rPr>
              <w:t xml:space="preserve"> covered services for the MSHO and MSC+ populations enrolled in managed care programs in Minnesota.  As such, the underlying data are based only on services provided to eligible Medicaid individuals enrolled in managed care.</w:t>
            </w:r>
          </w:p>
          <w:p w14:paraId="6F5AFD69" w14:textId="654A60D7" w:rsidR="00E25CF6" w:rsidRPr="003F6BB2" w:rsidRDefault="00E25CF6" w:rsidP="00B237B7">
            <w:pPr>
              <w:shd w:val="clear" w:color="auto" w:fill="FFFFFF"/>
              <w:tabs>
                <w:tab w:val="center" w:pos="4320"/>
                <w:tab w:val="right" w:pos="8640"/>
              </w:tabs>
              <w:spacing w:after="240"/>
            </w:pPr>
            <w:r w:rsidRPr="00B237B7">
              <w:rPr>
                <w:color w:val="000000"/>
                <w:spacing w:val="-1"/>
                <w:sz w:val="24"/>
                <w:szCs w:val="24"/>
              </w:rPr>
              <w:t xml:space="preserve">Non-covered services make up less than </w:t>
            </w:r>
            <w:r w:rsidR="00C0525B">
              <w:rPr>
                <w:color w:val="000000"/>
                <w:spacing w:val="-1"/>
                <w:sz w:val="24"/>
                <w:szCs w:val="24"/>
              </w:rPr>
              <w:t>1.25</w:t>
            </w:r>
            <w:r w:rsidRPr="004E0867">
              <w:rPr>
                <w:color w:val="000000"/>
                <w:spacing w:val="-1"/>
                <w:sz w:val="24"/>
                <w:szCs w:val="24"/>
              </w:rPr>
              <w:t>%</w:t>
            </w:r>
            <w:r w:rsidRPr="00B237B7">
              <w:rPr>
                <w:color w:val="000000"/>
                <w:spacing w:val="-1"/>
                <w:sz w:val="24"/>
                <w:szCs w:val="24"/>
              </w:rPr>
              <w:t xml:space="preserve"> of the total medical expenses for </w:t>
            </w:r>
            <w:r w:rsidRPr="00B237B7">
              <w:rPr>
                <w:color w:val="000000"/>
                <w:sz w:val="24"/>
                <w:szCs w:val="24"/>
              </w:rPr>
              <w:t>the MCOs, which was immaterial to the trend analysis.  As noted above</w:t>
            </w:r>
            <w:r w:rsidR="00053C15">
              <w:rPr>
                <w:color w:val="000000"/>
                <w:sz w:val="24"/>
                <w:szCs w:val="24"/>
              </w:rPr>
              <w:t xml:space="preserve"> and on page 4</w:t>
            </w:r>
            <w:r w:rsidR="00065635">
              <w:rPr>
                <w:color w:val="000000"/>
                <w:sz w:val="24"/>
                <w:szCs w:val="24"/>
              </w:rPr>
              <w:t xml:space="preserve"> of </w:t>
            </w:r>
            <w:r w:rsidR="002D3BF0" w:rsidRPr="002D3BF0">
              <w:rPr>
                <w:color w:val="000000"/>
                <w:sz w:val="24"/>
                <w:szCs w:val="24"/>
              </w:rPr>
              <w:t>Attachment A</w:t>
            </w:r>
            <w:r w:rsidRPr="00B237B7">
              <w:rPr>
                <w:color w:val="000000"/>
                <w:sz w:val="24"/>
                <w:szCs w:val="24"/>
              </w:rPr>
              <w:t xml:space="preserve">, these costs </w:t>
            </w:r>
            <w:r w:rsidR="00065635">
              <w:rPr>
                <w:color w:val="000000"/>
                <w:sz w:val="24"/>
                <w:szCs w:val="24"/>
              </w:rPr>
              <w:t xml:space="preserve">and administrative costs </w:t>
            </w:r>
            <w:r w:rsidRPr="00B237B7">
              <w:rPr>
                <w:color w:val="000000"/>
                <w:sz w:val="24"/>
                <w:szCs w:val="24"/>
              </w:rPr>
              <w:t>were excluded from the analysis.  See AA.2.4 of this checklist for more discussion of non-covered services.</w:t>
            </w:r>
          </w:p>
          <w:p w14:paraId="5F09C909" w14:textId="09FED1BB" w:rsidR="00E31AA0" w:rsidRPr="00232600" w:rsidRDefault="00E25CF6" w:rsidP="000F1A85">
            <w:pPr>
              <w:shd w:val="clear" w:color="auto" w:fill="FFFFFF"/>
              <w:tabs>
                <w:tab w:val="center" w:pos="4320"/>
                <w:tab w:val="right" w:pos="8640"/>
              </w:tabs>
              <w:spacing w:after="240"/>
              <w:rPr>
                <w:color w:val="000000"/>
                <w:sz w:val="24"/>
                <w:szCs w:val="24"/>
              </w:rPr>
            </w:pPr>
            <w:r w:rsidRPr="00B237B7">
              <w:rPr>
                <w:color w:val="000000"/>
                <w:sz w:val="24"/>
                <w:szCs w:val="24"/>
              </w:rPr>
              <w:t xml:space="preserve">The State determines enrollees’ eligibility for managed care and </w:t>
            </w:r>
            <w:r w:rsidR="000F1A85">
              <w:rPr>
                <w:color w:val="000000"/>
                <w:sz w:val="24"/>
                <w:szCs w:val="24"/>
              </w:rPr>
              <w:t xml:space="preserve">issues the </w:t>
            </w:r>
            <w:r w:rsidRPr="00B237B7">
              <w:rPr>
                <w:color w:val="000000"/>
                <w:sz w:val="24"/>
                <w:szCs w:val="24"/>
              </w:rPr>
              <w:t xml:space="preserve">capitation payments.  The State makes adjustments with the MCOs </w:t>
            </w:r>
            <w:r w:rsidRPr="00B237B7">
              <w:rPr>
                <w:color w:val="000000"/>
                <w:sz w:val="24"/>
                <w:szCs w:val="24"/>
              </w:rPr>
              <w:lastRenderedPageBreak/>
              <w:t xml:space="preserve">each </w:t>
            </w:r>
            <w:r w:rsidRPr="00B237B7">
              <w:rPr>
                <w:color w:val="000000"/>
                <w:spacing w:val="-1"/>
                <w:sz w:val="24"/>
                <w:szCs w:val="24"/>
              </w:rPr>
              <w:t>month for persons no longer eligible</w:t>
            </w:r>
            <w:r w:rsidR="000F1A85">
              <w:rPr>
                <w:color w:val="000000"/>
                <w:spacing w:val="-1"/>
                <w:sz w:val="24"/>
                <w:szCs w:val="24"/>
              </w:rPr>
              <w:t>, for example</w:t>
            </w:r>
            <w:r w:rsidRPr="00B237B7">
              <w:rPr>
                <w:color w:val="000000"/>
                <w:spacing w:val="-1"/>
                <w:sz w:val="24"/>
                <w:szCs w:val="24"/>
              </w:rPr>
              <w:t xml:space="preserve"> due to death</w:t>
            </w:r>
            <w:r w:rsidR="000F1A85">
              <w:rPr>
                <w:color w:val="000000"/>
                <w:spacing w:val="-1"/>
                <w:sz w:val="24"/>
                <w:szCs w:val="24"/>
              </w:rPr>
              <w:t>,</w:t>
            </w:r>
            <w:r w:rsidRPr="00B237B7">
              <w:rPr>
                <w:color w:val="000000"/>
                <w:spacing w:val="-1"/>
                <w:sz w:val="24"/>
                <w:szCs w:val="24"/>
              </w:rPr>
              <w:t xml:space="preserve"> </w:t>
            </w:r>
            <w:r w:rsidRPr="00B237B7">
              <w:rPr>
                <w:color w:val="000000"/>
                <w:sz w:val="24"/>
                <w:szCs w:val="24"/>
              </w:rPr>
              <w:t>and reports them on the MCOs’ remittance advice.</w:t>
            </w:r>
          </w:p>
        </w:tc>
      </w:tr>
      <w:tr w:rsidR="00E25CF6" w14:paraId="19FACCCB" w14:textId="77777777" w:rsidTr="007C7803">
        <w:tc>
          <w:tcPr>
            <w:tcW w:w="2268" w:type="dxa"/>
            <w:shd w:val="clear" w:color="auto" w:fill="auto"/>
          </w:tcPr>
          <w:p w14:paraId="5C29C176" w14:textId="77777777" w:rsidR="00E25CF6" w:rsidRDefault="00E25CF6" w:rsidP="000B1368">
            <w:pPr>
              <w:spacing w:after="240"/>
              <w:rPr>
                <w:rFonts w:ascii="Calibri" w:hAnsi="Calibri" w:cs="Calibri"/>
              </w:rPr>
            </w:pPr>
            <w:r w:rsidRPr="00016DD6">
              <w:rPr>
                <w:rFonts w:ascii="Calibri" w:hAnsi="Calibri" w:cs="Calibri"/>
              </w:rPr>
              <w:lastRenderedPageBreak/>
              <w:t xml:space="preserve">AA.2.1 </w:t>
            </w:r>
          </w:p>
          <w:p w14:paraId="48EFA88E" w14:textId="77777777" w:rsidR="00E25CF6" w:rsidRPr="00016DD6" w:rsidRDefault="00E25CF6" w:rsidP="000B1368">
            <w:pPr>
              <w:spacing w:after="240"/>
              <w:rPr>
                <w:rFonts w:ascii="Calibri" w:hAnsi="Calibri" w:cs="Calibri"/>
              </w:rPr>
            </w:pPr>
            <w:r>
              <w:rPr>
                <w:rFonts w:ascii="Calibri" w:hAnsi="Calibri" w:cs="Calibri"/>
              </w:rPr>
              <w:t xml:space="preserve">Rates must be appropriate to the populations covered under the contract (e.g., excluded populations have been removed from the base data, or adjustment was made). </w:t>
            </w:r>
          </w:p>
          <w:p w14:paraId="2D221D83" w14:textId="77777777" w:rsidR="00E25CF6" w:rsidRPr="00B237B7" w:rsidRDefault="00E25CF6" w:rsidP="00B237B7">
            <w:pPr>
              <w:tabs>
                <w:tab w:val="center" w:pos="4320"/>
                <w:tab w:val="right" w:pos="8640"/>
              </w:tabs>
              <w:spacing w:after="240"/>
              <w:rPr>
                <w:rFonts w:ascii="Calibri" w:hAnsi="Calibri" w:cs="Calibri"/>
              </w:rPr>
            </w:pPr>
          </w:p>
        </w:tc>
        <w:tc>
          <w:tcPr>
            <w:tcW w:w="7337" w:type="dxa"/>
            <w:shd w:val="clear" w:color="auto" w:fill="auto"/>
          </w:tcPr>
          <w:p w14:paraId="10D300D6"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Medicaid Eligible Persons Under the Contract</w:t>
            </w:r>
          </w:p>
          <w:p w14:paraId="09D3C7D8" w14:textId="5B9D4D7B" w:rsidR="00E25CF6" w:rsidRDefault="00E25CF6" w:rsidP="00B237B7">
            <w:pPr>
              <w:shd w:val="clear" w:color="auto" w:fill="FFFFFF"/>
              <w:tabs>
                <w:tab w:val="center" w:pos="4320"/>
                <w:tab w:val="right" w:pos="8640"/>
              </w:tabs>
              <w:spacing w:after="240"/>
            </w:pPr>
            <w:r w:rsidRPr="00B237B7">
              <w:rPr>
                <w:color w:val="000000"/>
                <w:sz w:val="24"/>
                <w:szCs w:val="24"/>
              </w:rPr>
              <w:t xml:space="preserve">Managed care programs for seniors are currently operating in all of Minnesota’s 87 counties.  Medical Assistance </w:t>
            </w:r>
            <w:r w:rsidRPr="00B237B7">
              <w:rPr>
                <w:color w:val="000000"/>
                <w:spacing w:val="-1"/>
                <w:sz w:val="24"/>
                <w:szCs w:val="24"/>
              </w:rPr>
              <w:t>will continue to operate on a FFS basis in all counties for</w:t>
            </w:r>
            <w:r>
              <w:t xml:space="preserve"> </w:t>
            </w:r>
            <w:r w:rsidRPr="00B237B7">
              <w:rPr>
                <w:color w:val="000000"/>
                <w:spacing w:val="-1"/>
                <w:sz w:val="24"/>
                <w:szCs w:val="24"/>
              </w:rPr>
              <w:t xml:space="preserve">excluded populations and for covered services not included in the MCO contracts (e.g., </w:t>
            </w:r>
            <w:r>
              <w:rPr>
                <w:color w:val="000000"/>
                <w:spacing w:val="-1"/>
                <w:sz w:val="24"/>
                <w:szCs w:val="24"/>
              </w:rPr>
              <w:t xml:space="preserve">certain </w:t>
            </w:r>
            <w:r w:rsidRPr="00B237B7">
              <w:rPr>
                <w:color w:val="000000"/>
                <w:spacing w:val="-1"/>
                <w:sz w:val="24"/>
                <w:szCs w:val="24"/>
              </w:rPr>
              <w:t>NF services).  Rates paid to MCOs for enrollees are based on data that reflect only the costs of the eligible populations and covered services.  They do not include payments for populations or services that are exempt from managed care enrollment.  The same basic care rates are paid for MSHO and MSC+ enrollees</w:t>
            </w:r>
            <w:r w:rsidRPr="00B237B7">
              <w:rPr>
                <w:color w:val="000000"/>
                <w:sz w:val="24"/>
                <w:szCs w:val="24"/>
              </w:rPr>
              <w:t>.</w:t>
            </w:r>
          </w:p>
          <w:p w14:paraId="1CA6627E" w14:textId="7E0008DE" w:rsidR="00E25CF6" w:rsidRDefault="00E25CF6" w:rsidP="00B237B7">
            <w:pPr>
              <w:shd w:val="clear" w:color="auto" w:fill="FFFFFF"/>
              <w:tabs>
                <w:tab w:val="center" w:pos="4320"/>
                <w:tab w:val="right" w:pos="8640"/>
              </w:tabs>
              <w:spacing w:after="240"/>
            </w:pPr>
            <w:r w:rsidRPr="00B237B7">
              <w:rPr>
                <w:sz w:val="24"/>
                <w:szCs w:val="24"/>
              </w:rPr>
              <w:t>The population of seniors required to enroll in managed care is specifically defined in the MCO contract.  All seniors</w:t>
            </w:r>
            <w:r w:rsidR="00E1553E">
              <w:rPr>
                <w:sz w:val="24"/>
                <w:szCs w:val="24"/>
              </w:rPr>
              <w:t xml:space="preserve"> who are required to enroll in managed care</w:t>
            </w:r>
            <w:r w:rsidRPr="00B237B7">
              <w:rPr>
                <w:sz w:val="24"/>
                <w:szCs w:val="24"/>
              </w:rPr>
              <w:t xml:space="preserve">  enroll in MSC+ </w:t>
            </w:r>
            <w:r w:rsidRPr="00B237B7">
              <w:rPr>
                <w:color w:val="000000"/>
                <w:spacing w:val="-1"/>
                <w:sz w:val="24"/>
                <w:szCs w:val="24"/>
              </w:rPr>
              <w:t xml:space="preserve">or may choose MSHO as an alternative.  New MSHO enrollments come </w:t>
            </w:r>
            <w:r w:rsidR="00232600">
              <w:rPr>
                <w:color w:val="000000"/>
                <w:spacing w:val="-1"/>
                <w:sz w:val="24"/>
                <w:szCs w:val="24"/>
              </w:rPr>
              <w:t xml:space="preserve">primarily </w:t>
            </w:r>
            <w:r w:rsidRPr="00B237B7">
              <w:rPr>
                <w:color w:val="000000"/>
                <w:spacing w:val="-1"/>
                <w:sz w:val="24"/>
                <w:szCs w:val="24"/>
              </w:rPr>
              <w:t xml:space="preserve">from the MSC+ population, and </w:t>
            </w:r>
            <w:r w:rsidRPr="00B237B7">
              <w:rPr>
                <w:color w:val="000000"/>
                <w:sz w:val="24"/>
                <w:szCs w:val="24"/>
              </w:rPr>
              <w:t>upon disenrollment from MSHO, recipients are generally re-enrolled into MSC+.  Because MSC+ is the base population for MSHO, the MSC+ basic care capitation rates are appropriate for MSHO.</w:t>
            </w:r>
          </w:p>
          <w:p w14:paraId="361D3804" w14:textId="33C0F161" w:rsidR="00E25CF6" w:rsidRDefault="00E25CF6" w:rsidP="00502882">
            <w:pPr>
              <w:tabs>
                <w:tab w:val="center" w:pos="4320"/>
                <w:tab w:val="right" w:pos="8640"/>
              </w:tabs>
              <w:spacing w:after="240"/>
            </w:pPr>
            <w:r w:rsidRPr="00B237B7">
              <w:rPr>
                <w:color w:val="000000"/>
                <w:sz w:val="24"/>
                <w:szCs w:val="24"/>
              </w:rPr>
              <w:t xml:space="preserve">For similar reasons, the same base data </w:t>
            </w:r>
            <w:r w:rsidR="00502882">
              <w:rPr>
                <w:color w:val="000000"/>
                <w:sz w:val="24"/>
                <w:szCs w:val="24"/>
              </w:rPr>
              <w:t>are</w:t>
            </w:r>
            <w:r w:rsidRPr="00B237B7">
              <w:rPr>
                <w:color w:val="000000"/>
                <w:sz w:val="24"/>
                <w:szCs w:val="24"/>
              </w:rPr>
              <w:t xml:space="preserve"> used in the development of the MSC+ and MSHO NF and EW </w:t>
            </w:r>
            <w:r>
              <w:rPr>
                <w:color w:val="000000"/>
                <w:sz w:val="24"/>
                <w:szCs w:val="24"/>
              </w:rPr>
              <w:t>Add-On</w:t>
            </w:r>
            <w:r w:rsidRPr="00B237B7">
              <w:rPr>
                <w:color w:val="000000"/>
                <w:sz w:val="24"/>
                <w:szCs w:val="24"/>
              </w:rPr>
              <w:t xml:space="preserve"> rates.  </w:t>
            </w:r>
          </w:p>
        </w:tc>
      </w:tr>
      <w:tr w:rsidR="00E25CF6" w14:paraId="77CC7790" w14:textId="77777777" w:rsidTr="007C7803">
        <w:tc>
          <w:tcPr>
            <w:tcW w:w="2268" w:type="dxa"/>
            <w:shd w:val="clear" w:color="auto" w:fill="auto"/>
          </w:tcPr>
          <w:p w14:paraId="458F4B55" w14:textId="77777777" w:rsidR="00E25CF6" w:rsidRPr="00016DD6" w:rsidRDefault="00E25CF6" w:rsidP="000B1368">
            <w:pPr>
              <w:spacing w:after="240"/>
              <w:rPr>
                <w:rFonts w:ascii="Calibri" w:hAnsi="Calibri" w:cs="Calibri"/>
              </w:rPr>
            </w:pPr>
            <w:r w:rsidRPr="00016DD6">
              <w:rPr>
                <w:rFonts w:ascii="Calibri" w:hAnsi="Calibri" w:cs="Calibri"/>
              </w:rPr>
              <w:t xml:space="preserve">AA.2.2 </w:t>
            </w:r>
          </w:p>
          <w:p w14:paraId="2549CF93"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Rates must be adjusted for dual status.</w:t>
            </w:r>
          </w:p>
        </w:tc>
        <w:tc>
          <w:tcPr>
            <w:tcW w:w="7337" w:type="dxa"/>
            <w:shd w:val="clear" w:color="auto" w:fill="auto"/>
          </w:tcPr>
          <w:p w14:paraId="1BAD101F" w14:textId="77777777" w:rsidR="00E25CF6" w:rsidRDefault="00E25CF6" w:rsidP="00B237B7">
            <w:pPr>
              <w:shd w:val="clear" w:color="auto" w:fill="FFFFFF"/>
              <w:tabs>
                <w:tab w:val="left" w:pos="1447"/>
                <w:tab w:val="center" w:pos="4320"/>
                <w:tab w:val="right" w:pos="8640"/>
              </w:tabs>
              <w:spacing w:after="240"/>
            </w:pPr>
            <w:r>
              <w:rPr>
                <w:b/>
                <w:bCs/>
                <w:color w:val="000000"/>
                <w:sz w:val="24"/>
                <w:szCs w:val="24"/>
              </w:rPr>
              <w:t>Dual E</w:t>
            </w:r>
            <w:r w:rsidRPr="00B237B7">
              <w:rPr>
                <w:b/>
                <w:bCs/>
                <w:color w:val="000000"/>
                <w:sz w:val="24"/>
                <w:szCs w:val="24"/>
              </w:rPr>
              <w:t xml:space="preserve">ligible </w:t>
            </w:r>
            <w:r>
              <w:rPr>
                <w:b/>
                <w:bCs/>
                <w:color w:val="000000"/>
                <w:sz w:val="24"/>
                <w:szCs w:val="24"/>
              </w:rPr>
              <w:t>P</w:t>
            </w:r>
            <w:r w:rsidRPr="00B237B7">
              <w:rPr>
                <w:b/>
                <w:bCs/>
                <w:color w:val="000000"/>
                <w:sz w:val="24"/>
                <w:szCs w:val="24"/>
              </w:rPr>
              <w:t xml:space="preserve">ersons </w:t>
            </w:r>
          </w:p>
          <w:p w14:paraId="60ED29D1" w14:textId="200D615F" w:rsidR="00286182" w:rsidRDefault="00E25CF6" w:rsidP="00053C15">
            <w:pPr>
              <w:tabs>
                <w:tab w:val="center" w:pos="4320"/>
                <w:tab w:val="right" w:pos="8640"/>
              </w:tabs>
              <w:spacing w:after="240"/>
              <w:rPr>
                <w:color w:val="000000"/>
                <w:sz w:val="24"/>
                <w:szCs w:val="24"/>
              </w:rPr>
            </w:pPr>
            <w:r w:rsidRPr="00B237B7">
              <w:rPr>
                <w:color w:val="000000"/>
                <w:sz w:val="24"/>
                <w:szCs w:val="24"/>
              </w:rPr>
              <w:t xml:space="preserve">Dual Medicare/Medicaid eligible recipients are included as a mandatory group in Minnesota’s MSC+ program under the 1915(b) waiver authority.  MSHO enrollment for these recipients is optional </w:t>
            </w:r>
            <w:r w:rsidR="00610946">
              <w:rPr>
                <w:color w:val="000000"/>
                <w:sz w:val="24"/>
                <w:szCs w:val="24"/>
              </w:rPr>
              <w:t>and</w:t>
            </w:r>
            <w:r w:rsidRPr="00B237B7">
              <w:rPr>
                <w:color w:val="000000"/>
                <w:sz w:val="24"/>
                <w:szCs w:val="24"/>
              </w:rPr>
              <w:t xml:space="preserve"> provides another choice of product for them.  However, those eligible for QMB and SLMB without also being eligible for full Medicaid are not eligible to enroll in managed care programs.  </w:t>
            </w:r>
            <w:r w:rsidR="00610946" w:rsidRPr="00610946">
              <w:rPr>
                <w:color w:val="000000"/>
                <w:sz w:val="24"/>
                <w:szCs w:val="24"/>
              </w:rPr>
              <w:t>Pe</w:t>
            </w:r>
            <w:r w:rsidR="00DE7BA5">
              <w:rPr>
                <w:color w:val="000000"/>
                <w:sz w:val="24"/>
                <w:szCs w:val="24"/>
              </w:rPr>
              <w:t>rsons</w:t>
            </w:r>
            <w:r w:rsidR="00610946" w:rsidRPr="00610946">
              <w:rPr>
                <w:color w:val="000000"/>
                <w:sz w:val="24"/>
                <w:szCs w:val="24"/>
              </w:rPr>
              <w:t xml:space="preserve"> with only Part A or only Part B of Medicare are also not eligible to enroll.</w:t>
            </w:r>
          </w:p>
          <w:p w14:paraId="5950474F" w14:textId="153FF61C" w:rsidR="00E25CF6" w:rsidRDefault="00E25CF6" w:rsidP="00E1553E">
            <w:pPr>
              <w:tabs>
                <w:tab w:val="center" w:pos="4320"/>
                <w:tab w:val="right" w:pos="8640"/>
              </w:tabs>
              <w:spacing w:after="240"/>
            </w:pPr>
            <w:r w:rsidRPr="00B237B7">
              <w:rPr>
                <w:color w:val="000000"/>
                <w:sz w:val="24"/>
                <w:szCs w:val="24"/>
              </w:rPr>
              <w:t xml:space="preserve">The payments for full dual eligible enrollees </w:t>
            </w:r>
            <w:r w:rsidRPr="00B237B7">
              <w:rPr>
                <w:color w:val="000000"/>
                <w:spacing w:val="-1"/>
                <w:sz w:val="24"/>
                <w:szCs w:val="24"/>
              </w:rPr>
              <w:t xml:space="preserve">reflect only the Medicaid costs of Medicaid services, and do not include any of the </w:t>
            </w:r>
            <w:r w:rsidRPr="00B237B7">
              <w:rPr>
                <w:color w:val="000000"/>
                <w:sz w:val="24"/>
                <w:szCs w:val="24"/>
              </w:rPr>
              <w:t>medical expenses paid by Medicare.  The data used reflect only Medical Assistance costs.</w:t>
            </w:r>
          </w:p>
        </w:tc>
      </w:tr>
      <w:tr w:rsidR="00E25CF6" w14:paraId="56C779A1" w14:textId="77777777" w:rsidTr="007C7803">
        <w:tc>
          <w:tcPr>
            <w:tcW w:w="2268" w:type="dxa"/>
            <w:shd w:val="clear" w:color="auto" w:fill="auto"/>
          </w:tcPr>
          <w:p w14:paraId="7A13D5A8" w14:textId="77777777" w:rsidR="00E25CF6" w:rsidRDefault="00E25CF6" w:rsidP="000B1368">
            <w:pPr>
              <w:spacing w:after="240"/>
              <w:rPr>
                <w:rFonts w:ascii="Calibri" w:hAnsi="Calibri" w:cs="Calibri"/>
              </w:rPr>
            </w:pPr>
            <w:r w:rsidRPr="00016DD6">
              <w:rPr>
                <w:rFonts w:ascii="Calibri" w:hAnsi="Calibri" w:cs="Calibri"/>
              </w:rPr>
              <w:t xml:space="preserve">AA.2.3 </w:t>
            </w:r>
          </w:p>
          <w:p w14:paraId="0D7F7F76" w14:textId="77777777" w:rsidR="00E25CF6" w:rsidRDefault="00E25CF6" w:rsidP="004D4FA3">
            <w:pPr>
              <w:tabs>
                <w:tab w:val="center" w:pos="4320"/>
                <w:tab w:val="right" w:pos="8640"/>
              </w:tabs>
              <w:spacing w:after="240"/>
              <w:rPr>
                <w:rFonts w:ascii="Calibri" w:hAnsi="Calibri" w:cs="Calibri"/>
              </w:rPr>
            </w:pPr>
            <w:r w:rsidRPr="00E40A8A">
              <w:rPr>
                <w:rFonts w:ascii="Calibri" w:hAnsi="Calibri" w:cs="Calibri"/>
              </w:rPr>
              <w:t>Rates must be adjusted for</w:t>
            </w:r>
            <w:r>
              <w:rPr>
                <w:rFonts w:ascii="Calibri" w:hAnsi="Calibri" w:cs="Calibri"/>
              </w:rPr>
              <w:t xml:space="preserve"> recipient liability.</w:t>
            </w:r>
          </w:p>
          <w:p w14:paraId="6F498BA2" w14:textId="77777777" w:rsidR="009E1EB7" w:rsidRDefault="009E1EB7" w:rsidP="004D4FA3">
            <w:pPr>
              <w:tabs>
                <w:tab w:val="center" w:pos="4320"/>
                <w:tab w:val="right" w:pos="8640"/>
              </w:tabs>
              <w:spacing w:after="240"/>
              <w:rPr>
                <w:rFonts w:ascii="Calibri" w:hAnsi="Calibri" w:cs="Calibri"/>
              </w:rPr>
            </w:pPr>
          </w:p>
          <w:p w14:paraId="737EC7C6" w14:textId="77777777" w:rsidR="009E1EB7" w:rsidRDefault="009E1EB7" w:rsidP="004D4FA3">
            <w:pPr>
              <w:tabs>
                <w:tab w:val="center" w:pos="4320"/>
                <w:tab w:val="right" w:pos="8640"/>
              </w:tabs>
              <w:spacing w:after="240"/>
              <w:rPr>
                <w:rFonts w:ascii="Calibri" w:hAnsi="Calibri" w:cs="Calibri"/>
              </w:rPr>
            </w:pPr>
          </w:p>
          <w:p w14:paraId="61C2F5C8" w14:textId="77777777" w:rsidR="009E1EB7" w:rsidRDefault="009E1EB7" w:rsidP="004D4FA3">
            <w:pPr>
              <w:tabs>
                <w:tab w:val="center" w:pos="4320"/>
                <w:tab w:val="right" w:pos="8640"/>
              </w:tabs>
              <w:spacing w:after="240"/>
              <w:rPr>
                <w:rFonts w:ascii="Calibri" w:hAnsi="Calibri" w:cs="Calibri"/>
              </w:rPr>
            </w:pPr>
          </w:p>
          <w:p w14:paraId="6B6CB16D" w14:textId="736D1B8D" w:rsidR="009E1EB7" w:rsidRPr="009E1EB7" w:rsidRDefault="009E1EB7" w:rsidP="009E1EB7">
            <w:pPr>
              <w:tabs>
                <w:tab w:val="center" w:pos="4320"/>
                <w:tab w:val="right" w:pos="8640"/>
              </w:tabs>
              <w:spacing w:after="240"/>
              <w:rPr>
                <w:rFonts w:ascii="Calibri" w:hAnsi="Calibri" w:cs="Calibri"/>
              </w:rPr>
            </w:pPr>
            <w:r w:rsidRPr="009E1EB7">
              <w:rPr>
                <w:rFonts w:ascii="Calibri" w:hAnsi="Calibri" w:cs="Calibri"/>
              </w:rPr>
              <w:t xml:space="preserve">AA.2.3 </w:t>
            </w:r>
            <w:r>
              <w:rPr>
                <w:rFonts w:ascii="Calibri" w:hAnsi="Calibri" w:cs="Calibri"/>
              </w:rPr>
              <w:t>continued</w:t>
            </w:r>
          </w:p>
          <w:p w14:paraId="3BC6DA9F" w14:textId="77777777" w:rsidR="009E1EB7" w:rsidRDefault="009E1EB7" w:rsidP="009E1EB7">
            <w:pPr>
              <w:tabs>
                <w:tab w:val="center" w:pos="4320"/>
                <w:tab w:val="right" w:pos="8640"/>
              </w:tabs>
              <w:spacing w:after="240"/>
              <w:rPr>
                <w:rFonts w:ascii="Calibri" w:hAnsi="Calibri" w:cs="Calibri"/>
              </w:rPr>
            </w:pPr>
            <w:r w:rsidRPr="009E1EB7">
              <w:rPr>
                <w:rFonts w:ascii="Calibri" w:hAnsi="Calibri" w:cs="Calibri"/>
              </w:rPr>
              <w:t>Rates must be adjusted for recipient liability.</w:t>
            </w:r>
          </w:p>
          <w:p w14:paraId="56BDDCE7" w14:textId="77777777" w:rsidR="009E1EB7" w:rsidRDefault="009E1EB7" w:rsidP="009E1EB7">
            <w:pPr>
              <w:tabs>
                <w:tab w:val="center" w:pos="4320"/>
                <w:tab w:val="right" w:pos="8640"/>
              </w:tabs>
              <w:spacing w:after="240"/>
              <w:rPr>
                <w:rFonts w:ascii="Calibri" w:hAnsi="Calibri" w:cs="Calibri"/>
              </w:rPr>
            </w:pPr>
          </w:p>
          <w:p w14:paraId="4CD06D46" w14:textId="77777777" w:rsidR="009E1EB7" w:rsidRDefault="009E1EB7" w:rsidP="009E1EB7">
            <w:pPr>
              <w:tabs>
                <w:tab w:val="center" w:pos="4320"/>
                <w:tab w:val="right" w:pos="8640"/>
              </w:tabs>
              <w:spacing w:after="240"/>
              <w:rPr>
                <w:rFonts w:ascii="Calibri" w:hAnsi="Calibri" w:cs="Calibri"/>
              </w:rPr>
            </w:pPr>
          </w:p>
          <w:p w14:paraId="72FCEAB9" w14:textId="77777777" w:rsidR="009E1EB7" w:rsidRDefault="009E1EB7" w:rsidP="009E1EB7">
            <w:pPr>
              <w:tabs>
                <w:tab w:val="center" w:pos="4320"/>
                <w:tab w:val="right" w:pos="8640"/>
              </w:tabs>
              <w:spacing w:after="240"/>
              <w:rPr>
                <w:rFonts w:ascii="Calibri" w:hAnsi="Calibri" w:cs="Calibri"/>
              </w:rPr>
            </w:pPr>
          </w:p>
          <w:p w14:paraId="6BC5A24E" w14:textId="77777777" w:rsidR="009E1EB7" w:rsidRDefault="009E1EB7" w:rsidP="009E1EB7">
            <w:pPr>
              <w:tabs>
                <w:tab w:val="center" w:pos="4320"/>
                <w:tab w:val="right" w:pos="8640"/>
              </w:tabs>
              <w:spacing w:after="240"/>
              <w:rPr>
                <w:rFonts w:ascii="Calibri" w:hAnsi="Calibri" w:cs="Calibri"/>
              </w:rPr>
            </w:pPr>
          </w:p>
          <w:p w14:paraId="17F08825" w14:textId="77777777" w:rsidR="009E1EB7" w:rsidRDefault="009E1EB7" w:rsidP="009E1EB7">
            <w:pPr>
              <w:tabs>
                <w:tab w:val="center" w:pos="4320"/>
                <w:tab w:val="right" w:pos="8640"/>
              </w:tabs>
              <w:spacing w:after="240"/>
              <w:rPr>
                <w:rFonts w:ascii="Calibri" w:hAnsi="Calibri" w:cs="Calibri"/>
              </w:rPr>
            </w:pPr>
          </w:p>
          <w:p w14:paraId="01A3A606" w14:textId="77777777" w:rsidR="009E1EB7" w:rsidRDefault="009E1EB7" w:rsidP="009E1EB7">
            <w:pPr>
              <w:tabs>
                <w:tab w:val="center" w:pos="4320"/>
                <w:tab w:val="right" w:pos="8640"/>
              </w:tabs>
              <w:spacing w:after="240"/>
              <w:rPr>
                <w:rFonts w:ascii="Calibri" w:hAnsi="Calibri" w:cs="Calibri"/>
              </w:rPr>
            </w:pPr>
          </w:p>
          <w:p w14:paraId="7E24D897" w14:textId="77777777" w:rsidR="009E1EB7" w:rsidRDefault="009E1EB7" w:rsidP="009E1EB7">
            <w:pPr>
              <w:tabs>
                <w:tab w:val="center" w:pos="4320"/>
                <w:tab w:val="right" w:pos="8640"/>
              </w:tabs>
              <w:spacing w:after="240"/>
              <w:rPr>
                <w:rFonts w:ascii="Calibri" w:hAnsi="Calibri" w:cs="Calibri"/>
              </w:rPr>
            </w:pPr>
          </w:p>
          <w:p w14:paraId="669623B2" w14:textId="77777777" w:rsidR="009E1EB7" w:rsidRDefault="009E1EB7" w:rsidP="009E1EB7">
            <w:pPr>
              <w:tabs>
                <w:tab w:val="center" w:pos="4320"/>
                <w:tab w:val="right" w:pos="8640"/>
              </w:tabs>
              <w:spacing w:after="240"/>
              <w:rPr>
                <w:rFonts w:ascii="Calibri" w:hAnsi="Calibri" w:cs="Calibri"/>
              </w:rPr>
            </w:pPr>
          </w:p>
          <w:p w14:paraId="28E45F39" w14:textId="77777777" w:rsidR="009E1EB7" w:rsidRDefault="009E1EB7" w:rsidP="009E1EB7">
            <w:pPr>
              <w:tabs>
                <w:tab w:val="center" w:pos="4320"/>
                <w:tab w:val="right" w:pos="8640"/>
              </w:tabs>
              <w:spacing w:after="240"/>
              <w:rPr>
                <w:rFonts w:ascii="Calibri" w:hAnsi="Calibri" w:cs="Calibri"/>
              </w:rPr>
            </w:pPr>
          </w:p>
          <w:p w14:paraId="5C25D556" w14:textId="77777777" w:rsidR="009E1EB7" w:rsidRDefault="009E1EB7" w:rsidP="009E1EB7">
            <w:pPr>
              <w:tabs>
                <w:tab w:val="center" w:pos="4320"/>
                <w:tab w:val="right" w:pos="8640"/>
              </w:tabs>
              <w:spacing w:after="240"/>
              <w:rPr>
                <w:rFonts w:ascii="Calibri" w:hAnsi="Calibri" w:cs="Calibri"/>
              </w:rPr>
            </w:pPr>
          </w:p>
          <w:p w14:paraId="327636F5" w14:textId="77777777" w:rsidR="009E1EB7" w:rsidRDefault="009E1EB7" w:rsidP="009E1EB7">
            <w:pPr>
              <w:tabs>
                <w:tab w:val="center" w:pos="4320"/>
                <w:tab w:val="right" w:pos="8640"/>
              </w:tabs>
              <w:spacing w:after="240"/>
              <w:rPr>
                <w:rFonts w:ascii="Calibri" w:hAnsi="Calibri" w:cs="Calibri"/>
              </w:rPr>
            </w:pPr>
          </w:p>
          <w:p w14:paraId="7C27325C" w14:textId="77777777" w:rsidR="009E1EB7" w:rsidRDefault="009E1EB7" w:rsidP="009E1EB7">
            <w:pPr>
              <w:tabs>
                <w:tab w:val="center" w:pos="4320"/>
                <w:tab w:val="right" w:pos="8640"/>
              </w:tabs>
              <w:spacing w:after="240"/>
              <w:rPr>
                <w:rFonts w:ascii="Calibri" w:hAnsi="Calibri" w:cs="Calibri"/>
              </w:rPr>
            </w:pPr>
          </w:p>
          <w:p w14:paraId="06C40011" w14:textId="77777777" w:rsidR="009E1EB7" w:rsidRDefault="009E1EB7" w:rsidP="009E1EB7">
            <w:pPr>
              <w:tabs>
                <w:tab w:val="center" w:pos="4320"/>
                <w:tab w:val="right" w:pos="8640"/>
              </w:tabs>
              <w:spacing w:after="240"/>
              <w:rPr>
                <w:rFonts w:ascii="Calibri" w:hAnsi="Calibri" w:cs="Calibri"/>
              </w:rPr>
            </w:pPr>
          </w:p>
          <w:p w14:paraId="28433D68" w14:textId="77777777" w:rsidR="009E1EB7" w:rsidRDefault="009E1EB7" w:rsidP="009E1EB7">
            <w:pPr>
              <w:tabs>
                <w:tab w:val="center" w:pos="4320"/>
                <w:tab w:val="right" w:pos="8640"/>
              </w:tabs>
              <w:spacing w:after="240"/>
              <w:rPr>
                <w:rFonts w:ascii="Calibri" w:hAnsi="Calibri" w:cs="Calibri"/>
              </w:rPr>
            </w:pPr>
          </w:p>
          <w:p w14:paraId="36977F38" w14:textId="77777777" w:rsidR="009E1EB7" w:rsidRDefault="009E1EB7" w:rsidP="009E1EB7">
            <w:pPr>
              <w:tabs>
                <w:tab w:val="center" w:pos="4320"/>
                <w:tab w:val="right" w:pos="8640"/>
              </w:tabs>
              <w:spacing w:after="240"/>
              <w:rPr>
                <w:rFonts w:ascii="Calibri" w:hAnsi="Calibri" w:cs="Calibri"/>
              </w:rPr>
            </w:pPr>
          </w:p>
          <w:p w14:paraId="6CF86946" w14:textId="77777777" w:rsidR="009E1EB7" w:rsidRDefault="009E1EB7" w:rsidP="009E1EB7">
            <w:pPr>
              <w:tabs>
                <w:tab w:val="center" w:pos="4320"/>
                <w:tab w:val="right" w:pos="8640"/>
              </w:tabs>
              <w:spacing w:after="240"/>
              <w:rPr>
                <w:rFonts w:ascii="Calibri" w:hAnsi="Calibri" w:cs="Calibri"/>
              </w:rPr>
            </w:pPr>
          </w:p>
          <w:p w14:paraId="10EB8BC8" w14:textId="77777777" w:rsidR="009E1EB7" w:rsidRDefault="009E1EB7" w:rsidP="009E1EB7">
            <w:pPr>
              <w:tabs>
                <w:tab w:val="center" w:pos="4320"/>
                <w:tab w:val="right" w:pos="8640"/>
              </w:tabs>
              <w:spacing w:after="240"/>
              <w:rPr>
                <w:rFonts w:ascii="Calibri" w:hAnsi="Calibri" w:cs="Calibri"/>
              </w:rPr>
            </w:pPr>
          </w:p>
          <w:p w14:paraId="375E39F8" w14:textId="77777777" w:rsidR="009E1EB7" w:rsidRDefault="009E1EB7" w:rsidP="009E1EB7">
            <w:pPr>
              <w:tabs>
                <w:tab w:val="center" w:pos="4320"/>
                <w:tab w:val="right" w:pos="8640"/>
              </w:tabs>
              <w:spacing w:after="240"/>
              <w:rPr>
                <w:rFonts w:ascii="Calibri" w:hAnsi="Calibri" w:cs="Calibri"/>
              </w:rPr>
            </w:pPr>
          </w:p>
          <w:p w14:paraId="34E2AF6B" w14:textId="77777777" w:rsidR="009E1EB7" w:rsidRDefault="009E1EB7" w:rsidP="009E1EB7">
            <w:pPr>
              <w:tabs>
                <w:tab w:val="center" w:pos="4320"/>
                <w:tab w:val="right" w:pos="8640"/>
              </w:tabs>
              <w:spacing w:after="240"/>
              <w:rPr>
                <w:rFonts w:ascii="Calibri" w:hAnsi="Calibri" w:cs="Calibri"/>
              </w:rPr>
            </w:pPr>
          </w:p>
          <w:p w14:paraId="77706AEB" w14:textId="77777777" w:rsidR="009E1EB7" w:rsidRDefault="009E1EB7" w:rsidP="009E1EB7">
            <w:pPr>
              <w:tabs>
                <w:tab w:val="center" w:pos="4320"/>
                <w:tab w:val="right" w:pos="8640"/>
              </w:tabs>
              <w:spacing w:after="240"/>
              <w:rPr>
                <w:rFonts w:ascii="Calibri" w:hAnsi="Calibri" w:cs="Calibri"/>
              </w:rPr>
            </w:pPr>
          </w:p>
          <w:p w14:paraId="2EC2AB6A" w14:textId="77777777" w:rsidR="009E1EB7" w:rsidRDefault="009E1EB7" w:rsidP="009E1EB7">
            <w:pPr>
              <w:tabs>
                <w:tab w:val="center" w:pos="4320"/>
                <w:tab w:val="right" w:pos="8640"/>
              </w:tabs>
              <w:spacing w:after="240"/>
              <w:rPr>
                <w:rFonts w:ascii="Calibri" w:hAnsi="Calibri" w:cs="Calibri"/>
              </w:rPr>
            </w:pPr>
          </w:p>
          <w:p w14:paraId="7D36C683" w14:textId="77777777" w:rsidR="009E1EB7" w:rsidRDefault="009E1EB7" w:rsidP="009E1EB7">
            <w:pPr>
              <w:tabs>
                <w:tab w:val="center" w:pos="4320"/>
                <w:tab w:val="right" w:pos="8640"/>
              </w:tabs>
              <w:spacing w:after="240"/>
              <w:rPr>
                <w:rFonts w:ascii="Calibri" w:hAnsi="Calibri" w:cs="Calibri"/>
              </w:rPr>
            </w:pPr>
          </w:p>
          <w:p w14:paraId="2A91CC99" w14:textId="068B4826" w:rsidR="009E1EB7" w:rsidRPr="009E1EB7" w:rsidRDefault="009E1EB7" w:rsidP="009E1EB7">
            <w:pPr>
              <w:tabs>
                <w:tab w:val="center" w:pos="4320"/>
                <w:tab w:val="right" w:pos="8640"/>
              </w:tabs>
              <w:spacing w:after="240"/>
              <w:rPr>
                <w:rFonts w:ascii="Calibri" w:hAnsi="Calibri" w:cs="Calibri"/>
              </w:rPr>
            </w:pPr>
            <w:r w:rsidRPr="009E1EB7">
              <w:rPr>
                <w:rFonts w:ascii="Calibri" w:hAnsi="Calibri" w:cs="Calibri"/>
              </w:rPr>
              <w:lastRenderedPageBreak/>
              <w:t xml:space="preserve">AA.2.3 </w:t>
            </w:r>
            <w:r>
              <w:rPr>
                <w:rFonts w:ascii="Calibri" w:hAnsi="Calibri" w:cs="Calibri"/>
              </w:rPr>
              <w:t>continued</w:t>
            </w:r>
          </w:p>
          <w:p w14:paraId="65F88218" w14:textId="3662C779" w:rsidR="009E1EB7" w:rsidRPr="00B237B7" w:rsidRDefault="009E1EB7" w:rsidP="009E1EB7">
            <w:pPr>
              <w:tabs>
                <w:tab w:val="center" w:pos="4320"/>
                <w:tab w:val="right" w:pos="8640"/>
              </w:tabs>
              <w:spacing w:after="240"/>
              <w:rPr>
                <w:rFonts w:ascii="Calibri" w:hAnsi="Calibri" w:cs="Calibri"/>
              </w:rPr>
            </w:pPr>
            <w:r w:rsidRPr="009E1EB7">
              <w:rPr>
                <w:rFonts w:ascii="Calibri" w:hAnsi="Calibri" w:cs="Calibri"/>
              </w:rPr>
              <w:t>Rates must be adjusted for recipient liability.</w:t>
            </w:r>
          </w:p>
        </w:tc>
        <w:tc>
          <w:tcPr>
            <w:tcW w:w="7337" w:type="dxa"/>
            <w:shd w:val="clear" w:color="auto" w:fill="auto"/>
          </w:tcPr>
          <w:p w14:paraId="09A3BA80" w14:textId="77777777" w:rsidR="00E25CF6" w:rsidRDefault="00E25CF6" w:rsidP="00B237B7">
            <w:pPr>
              <w:shd w:val="clear" w:color="auto" w:fill="FFFFFF"/>
              <w:tabs>
                <w:tab w:val="left" w:pos="1462"/>
                <w:tab w:val="center" w:pos="4320"/>
                <w:tab w:val="right" w:pos="8640"/>
              </w:tabs>
              <w:spacing w:after="240"/>
            </w:pPr>
            <w:r w:rsidRPr="00B237B7">
              <w:rPr>
                <w:b/>
                <w:bCs/>
                <w:color w:val="000000"/>
                <w:spacing w:val="-1"/>
                <w:sz w:val="24"/>
                <w:szCs w:val="24"/>
              </w:rPr>
              <w:lastRenderedPageBreak/>
              <w:t>Spenddown</w:t>
            </w:r>
          </w:p>
          <w:p w14:paraId="69366390" w14:textId="77777777" w:rsidR="00E25CF6" w:rsidRDefault="00E25CF6" w:rsidP="00B237B7">
            <w:pPr>
              <w:shd w:val="clear" w:color="auto" w:fill="FFFFFF"/>
              <w:tabs>
                <w:tab w:val="center" w:pos="4320"/>
                <w:tab w:val="right" w:pos="8640"/>
              </w:tabs>
              <w:spacing w:after="240"/>
            </w:pPr>
            <w:r w:rsidRPr="00B237B7">
              <w:rPr>
                <w:color w:val="000000"/>
                <w:sz w:val="24"/>
                <w:szCs w:val="24"/>
                <w:u w:val="single"/>
              </w:rPr>
              <w:t xml:space="preserve">Community </w:t>
            </w:r>
            <w:r>
              <w:rPr>
                <w:color w:val="000000"/>
                <w:sz w:val="24"/>
                <w:szCs w:val="24"/>
                <w:u w:val="single"/>
              </w:rPr>
              <w:t>E</w:t>
            </w:r>
            <w:r w:rsidRPr="00B237B7">
              <w:rPr>
                <w:color w:val="000000"/>
                <w:sz w:val="24"/>
                <w:szCs w:val="24"/>
                <w:u w:val="single"/>
              </w:rPr>
              <w:t xml:space="preserve">nrollees with </w:t>
            </w:r>
            <w:r>
              <w:rPr>
                <w:color w:val="000000"/>
                <w:sz w:val="24"/>
                <w:szCs w:val="24"/>
                <w:u w:val="single"/>
              </w:rPr>
              <w:t>S</w:t>
            </w:r>
            <w:r w:rsidRPr="00B237B7">
              <w:rPr>
                <w:color w:val="000000"/>
                <w:sz w:val="24"/>
                <w:szCs w:val="24"/>
                <w:u w:val="single"/>
              </w:rPr>
              <w:t>penddowns</w:t>
            </w:r>
          </w:p>
          <w:p w14:paraId="66968BD0" w14:textId="77777777" w:rsidR="00E25CF6" w:rsidRDefault="00E25CF6" w:rsidP="00B237B7">
            <w:pPr>
              <w:shd w:val="clear" w:color="auto" w:fill="FFFFFF"/>
              <w:tabs>
                <w:tab w:val="center" w:pos="4320"/>
                <w:tab w:val="right" w:pos="8640"/>
              </w:tabs>
              <w:spacing w:after="240"/>
            </w:pPr>
            <w:r w:rsidRPr="00B237B7">
              <w:rPr>
                <w:color w:val="000000"/>
                <w:sz w:val="24"/>
                <w:szCs w:val="24"/>
              </w:rPr>
              <w:t xml:space="preserve">Community Medicaid recipients eligible for spenddown are one of the groups generally excluded from PMAP and MSC+, and the State’s </w:t>
            </w:r>
            <w:r w:rsidRPr="00B237B7">
              <w:rPr>
                <w:color w:val="000000"/>
                <w:sz w:val="24"/>
                <w:szCs w:val="24"/>
              </w:rPr>
              <w:lastRenderedPageBreak/>
              <w:t>expenditures for them are not part of the MCO cost experience.</w:t>
            </w:r>
          </w:p>
          <w:p w14:paraId="387E981C" w14:textId="2122B7A1" w:rsidR="00E25CF6" w:rsidRDefault="00E25CF6" w:rsidP="00B237B7">
            <w:pPr>
              <w:shd w:val="clear" w:color="auto" w:fill="FFFFFF"/>
              <w:tabs>
                <w:tab w:val="center" w:pos="4320"/>
                <w:tab w:val="right" w:pos="8640"/>
              </w:tabs>
              <w:spacing w:after="240"/>
            </w:pPr>
            <w:r w:rsidRPr="00B237B7">
              <w:rPr>
                <w:color w:val="000000"/>
                <w:sz w:val="24"/>
                <w:szCs w:val="24"/>
              </w:rPr>
              <w:t xml:space="preserve">In general MSC+ and MSHO do not enroll Medicaid clients with medical spenddowns who reside in the community.  However, under MSHO, some </w:t>
            </w:r>
            <w:r w:rsidRPr="00B237B7">
              <w:rPr>
                <w:color w:val="000000"/>
                <w:spacing w:val="-1"/>
                <w:sz w:val="24"/>
                <w:szCs w:val="24"/>
              </w:rPr>
              <w:t xml:space="preserve">continued enrollment is allowed for community-based </w:t>
            </w:r>
            <w:r>
              <w:rPr>
                <w:color w:val="000000"/>
                <w:spacing w:val="-1"/>
                <w:sz w:val="24"/>
                <w:szCs w:val="24"/>
              </w:rPr>
              <w:t>enrollees</w:t>
            </w:r>
            <w:r w:rsidRPr="00B237B7">
              <w:rPr>
                <w:color w:val="000000"/>
                <w:spacing w:val="-1"/>
                <w:sz w:val="24"/>
                <w:szCs w:val="24"/>
              </w:rPr>
              <w:t xml:space="preserve"> who accrue monthly </w:t>
            </w:r>
            <w:r w:rsidRPr="00B237B7">
              <w:rPr>
                <w:color w:val="000000"/>
                <w:sz w:val="24"/>
                <w:szCs w:val="24"/>
              </w:rPr>
              <w:t>medical spenddowns after enrollment</w:t>
            </w:r>
            <w:r>
              <w:rPr>
                <w:color w:val="000000"/>
                <w:sz w:val="24"/>
                <w:szCs w:val="24"/>
              </w:rPr>
              <w:t>,</w:t>
            </w:r>
            <w:r w:rsidRPr="00B237B7">
              <w:rPr>
                <w:color w:val="000000"/>
                <w:sz w:val="24"/>
                <w:szCs w:val="24"/>
              </w:rPr>
              <w:t xml:space="preserve"> when application of a spenddown would require a current enrollee to disenroll.  This policy allows for continuity of access to Part D and long term care benefits for those members.  Only clients who meet their entire medical spenddown amount on a monthly basis remain enrolled in MSHO.  These clients </w:t>
            </w:r>
            <w:r w:rsidRPr="00B237B7">
              <w:rPr>
                <w:color w:val="000000"/>
                <w:spacing w:val="-1"/>
                <w:sz w:val="24"/>
                <w:szCs w:val="24"/>
              </w:rPr>
              <w:t xml:space="preserve">are required to pay their entire medical spenddown to </w:t>
            </w:r>
            <w:r w:rsidR="00440FFD">
              <w:rPr>
                <w:color w:val="000000"/>
                <w:spacing w:val="-1"/>
                <w:sz w:val="24"/>
                <w:szCs w:val="24"/>
              </w:rPr>
              <w:t>the State</w:t>
            </w:r>
            <w:r w:rsidR="00051C5F">
              <w:rPr>
                <w:color w:val="000000"/>
                <w:spacing w:val="-1"/>
                <w:sz w:val="24"/>
                <w:szCs w:val="24"/>
              </w:rPr>
              <w:t xml:space="preserve"> </w:t>
            </w:r>
            <w:r w:rsidRPr="00B237B7">
              <w:rPr>
                <w:color w:val="000000"/>
                <w:spacing w:val="-1"/>
                <w:sz w:val="24"/>
                <w:szCs w:val="24"/>
              </w:rPr>
              <w:t xml:space="preserve">on a monthly basis and </w:t>
            </w:r>
            <w:r w:rsidRPr="00B237B7">
              <w:rPr>
                <w:color w:val="000000"/>
                <w:sz w:val="24"/>
                <w:szCs w:val="24"/>
              </w:rPr>
              <w:t xml:space="preserve">the spenddown collections made by DHS are used to reduce the overall Medicaid expenses for MSHO.  The amount of federal financial participation (FFP) is reduced by the collection of the spenddown amounts.  </w:t>
            </w:r>
          </w:p>
          <w:p w14:paraId="6B9E3313" w14:textId="370743C0" w:rsidR="00E25CF6" w:rsidRPr="00B237B7" w:rsidRDefault="00E25CF6"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Because clients with medical spenddowns are excluded from enrolling in </w:t>
            </w:r>
            <w:r w:rsidRPr="00B237B7">
              <w:rPr>
                <w:color w:val="000000"/>
                <w:spacing w:val="-1"/>
                <w:sz w:val="24"/>
                <w:szCs w:val="24"/>
              </w:rPr>
              <w:t xml:space="preserve">MSC+ and because the basic care component of the MSHO rate was derived from recent MSC+ experience, spenddown payments are not included </w:t>
            </w:r>
            <w:r w:rsidRPr="00B237B7">
              <w:rPr>
                <w:color w:val="000000"/>
                <w:sz w:val="24"/>
                <w:szCs w:val="24"/>
              </w:rPr>
              <w:t xml:space="preserve">in the data used to calculate the basic care component of the MSHO rates.  </w:t>
            </w:r>
            <w:r w:rsidRPr="00B237B7">
              <w:rPr>
                <w:color w:val="000000"/>
                <w:spacing w:val="-1"/>
                <w:sz w:val="24"/>
                <w:szCs w:val="24"/>
              </w:rPr>
              <w:t xml:space="preserve">However, only a </w:t>
            </w:r>
            <w:r w:rsidR="00E34063">
              <w:rPr>
                <w:color w:val="000000"/>
                <w:spacing w:val="-1"/>
                <w:sz w:val="24"/>
                <w:szCs w:val="24"/>
              </w:rPr>
              <w:t>small number</w:t>
            </w:r>
            <w:r w:rsidRPr="00B237B7">
              <w:rPr>
                <w:color w:val="000000"/>
                <w:spacing w:val="-1"/>
                <w:sz w:val="24"/>
                <w:szCs w:val="24"/>
              </w:rPr>
              <w:t xml:space="preserve"> of these </w:t>
            </w:r>
            <w:r w:rsidR="00DE7BA5">
              <w:rPr>
                <w:color w:val="000000"/>
                <w:spacing w:val="-1"/>
                <w:sz w:val="24"/>
                <w:szCs w:val="24"/>
              </w:rPr>
              <w:t xml:space="preserve">persons </w:t>
            </w:r>
            <w:r w:rsidRPr="00B237B7">
              <w:rPr>
                <w:color w:val="000000"/>
                <w:spacing w:val="-1"/>
                <w:sz w:val="24"/>
                <w:szCs w:val="24"/>
              </w:rPr>
              <w:t>have ever been enrolled in MSHO</w:t>
            </w:r>
            <w:r w:rsidR="00502882">
              <w:rPr>
                <w:color w:val="000000"/>
                <w:spacing w:val="-1"/>
                <w:sz w:val="24"/>
                <w:szCs w:val="24"/>
              </w:rPr>
              <w:t>;</w:t>
            </w:r>
            <w:r w:rsidRPr="00B237B7">
              <w:rPr>
                <w:color w:val="000000"/>
                <w:spacing w:val="-1"/>
                <w:sz w:val="24"/>
                <w:szCs w:val="24"/>
              </w:rPr>
              <w:t xml:space="preserve"> </w:t>
            </w:r>
            <w:r w:rsidR="00502882">
              <w:rPr>
                <w:color w:val="000000"/>
                <w:sz w:val="24"/>
                <w:szCs w:val="24"/>
              </w:rPr>
              <w:t>t</w:t>
            </w:r>
            <w:r w:rsidRPr="00B237B7">
              <w:rPr>
                <w:color w:val="000000"/>
                <w:sz w:val="24"/>
                <w:szCs w:val="24"/>
              </w:rPr>
              <w:t>he experience of such a small number of enrollees with this status does not significantly affect the overall acute care experience of the enrolled population.</w:t>
            </w:r>
          </w:p>
          <w:p w14:paraId="2F1A55FE" w14:textId="77777777" w:rsidR="00E25CF6" w:rsidRPr="00B237B7" w:rsidRDefault="00E25CF6" w:rsidP="00B237B7">
            <w:pPr>
              <w:shd w:val="clear" w:color="auto" w:fill="FFFFFF"/>
              <w:tabs>
                <w:tab w:val="center" w:pos="4320"/>
                <w:tab w:val="right" w:pos="8640"/>
              </w:tabs>
              <w:spacing w:after="240"/>
              <w:rPr>
                <w:u w:val="single"/>
              </w:rPr>
            </w:pPr>
            <w:r w:rsidRPr="00B237B7">
              <w:rPr>
                <w:color w:val="000000"/>
                <w:sz w:val="24"/>
                <w:szCs w:val="24"/>
                <w:u w:val="single"/>
              </w:rPr>
              <w:t xml:space="preserve">Institutional </w:t>
            </w:r>
            <w:r>
              <w:rPr>
                <w:color w:val="000000"/>
                <w:sz w:val="24"/>
                <w:szCs w:val="24"/>
                <w:u w:val="single"/>
              </w:rPr>
              <w:t>E</w:t>
            </w:r>
            <w:r w:rsidRPr="00B237B7">
              <w:rPr>
                <w:color w:val="000000"/>
                <w:sz w:val="24"/>
                <w:szCs w:val="24"/>
                <w:u w:val="single"/>
              </w:rPr>
              <w:t xml:space="preserve">nrollees with </w:t>
            </w:r>
            <w:r>
              <w:rPr>
                <w:color w:val="000000"/>
                <w:sz w:val="24"/>
                <w:szCs w:val="24"/>
                <w:u w:val="single"/>
              </w:rPr>
              <w:t>S</w:t>
            </w:r>
            <w:r w:rsidRPr="00B237B7">
              <w:rPr>
                <w:color w:val="000000"/>
                <w:sz w:val="24"/>
                <w:szCs w:val="24"/>
                <w:u w:val="single"/>
              </w:rPr>
              <w:t>penddowns</w:t>
            </w:r>
          </w:p>
          <w:p w14:paraId="2061AEF1" w14:textId="77777777" w:rsidR="00E25CF6" w:rsidRDefault="00E25CF6" w:rsidP="00B237B7">
            <w:pPr>
              <w:shd w:val="clear" w:color="auto" w:fill="FFFFFF"/>
              <w:tabs>
                <w:tab w:val="center" w:pos="4320"/>
                <w:tab w:val="right" w:pos="8640"/>
              </w:tabs>
              <w:spacing w:after="240"/>
            </w:pPr>
            <w:r w:rsidRPr="00B237B7">
              <w:rPr>
                <w:color w:val="000000"/>
                <w:sz w:val="24"/>
                <w:szCs w:val="24"/>
              </w:rPr>
              <w:t xml:space="preserve">Under MSC+ and MSHO, MCOs have responsibility for the first 180 days of nursing facility services for those who enroll from a community setting.  (For those who enroll in MSHO from an institutional setting, Medicaid-covered NF services are paid on a FFS basis.) During periods when the MCO is responsible for NF services, individual institutional spenddown </w:t>
            </w:r>
            <w:r w:rsidRPr="00B237B7">
              <w:rPr>
                <w:color w:val="000000"/>
                <w:spacing w:val="-1"/>
                <w:sz w:val="24"/>
                <w:szCs w:val="24"/>
              </w:rPr>
              <w:t xml:space="preserve">amounts are automatically deducted from Medicaid payments to nursing facilities </w:t>
            </w:r>
            <w:r w:rsidRPr="00B237B7">
              <w:rPr>
                <w:color w:val="000000"/>
                <w:sz w:val="24"/>
                <w:szCs w:val="24"/>
              </w:rPr>
              <w:t xml:space="preserve">for those enrollees.  If the spenddown amount changes retroactively, the amount previously deducted is also adjusted.  Through this automated process of adjusting </w:t>
            </w:r>
            <w:r w:rsidRPr="00B237B7">
              <w:rPr>
                <w:color w:val="000000"/>
                <w:spacing w:val="-1"/>
                <w:sz w:val="24"/>
                <w:szCs w:val="24"/>
              </w:rPr>
              <w:t xml:space="preserve">payments to nursing facilities for individual institutional spenddown amounts, the </w:t>
            </w:r>
            <w:r w:rsidRPr="00B237B7">
              <w:rPr>
                <w:color w:val="000000"/>
                <w:sz w:val="24"/>
                <w:szCs w:val="24"/>
              </w:rPr>
              <w:t>State does not claim FFP on these enrollee participation amounts.</w:t>
            </w:r>
          </w:p>
          <w:p w14:paraId="5E8119D5" w14:textId="77777777" w:rsidR="00E25CF6" w:rsidRDefault="00E25CF6"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The NF </w:t>
            </w:r>
            <w:r>
              <w:rPr>
                <w:color w:val="000000"/>
                <w:sz w:val="24"/>
                <w:szCs w:val="24"/>
              </w:rPr>
              <w:t>Add-On</w:t>
            </w:r>
            <w:r w:rsidRPr="00B237B7">
              <w:rPr>
                <w:color w:val="000000"/>
                <w:sz w:val="24"/>
                <w:szCs w:val="24"/>
              </w:rPr>
              <w:t xml:space="preserve"> component of the MSC+ and MSHO capitation rates includes both the Medicaid payment and the institutional spenddown amounts.  However, as described above, adjustments are made to deduct individual </w:t>
            </w:r>
            <w:r w:rsidRPr="00B237B7">
              <w:rPr>
                <w:color w:val="000000"/>
                <w:spacing w:val="-1"/>
                <w:sz w:val="24"/>
                <w:szCs w:val="24"/>
              </w:rPr>
              <w:t xml:space="preserve">spenddown amounts through the automated process so that FFP is not claimed on </w:t>
            </w:r>
            <w:r w:rsidRPr="00B237B7">
              <w:rPr>
                <w:color w:val="000000"/>
                <w:sz w:val="24"/>
                <w:szCs w:val="24"/>
              </w:rPr>
              <w:t>the recipient contribution amount.</w:t>
            </w:r>
          </w:p>
          <w:p w14:paraId="7FBF3FCF" w14:textId="77777777" w:rsidR="009E1EB7" w:rsidRDefault="009E1EB7" w:rsidP="00B237B7">
            <w:pPr>
              <w:shd w:val="clear" w:color="auto" w:fill="FFFFFF"/>
              <w:tabs>
                <w:tab w:val="center" w:pos="4320"/>
                <w:tab w:val="right" w:pos="8640"/>
              </w:tabs>
              <w:spacing w:after="240"/>
            </w:pPr>
          </w:p>
          <w:p w14:paraId="19C8E8C2" w14:textId="77777777" w:rsidR="00E25CF6" w:rsidRDefault="00E25CF6" w:rsidP="00B237B7">
            <w:pPr>
              <w:shd w:val="clear" w:color="auto" w:fill="FFFFFF"/>
              <w:tabs>
                <w:tab w:val="center" w:pos="4320"/>
                <w:tab w:val="right" w:pos="8640"/>
              </w:tabs>
              <w:spacing w:after="240"/>
            </w:pPr>
            <w:r w:rsidRPr="00B237B7">
              <w:rPr>
                <w:color w:val="000000"/>
                <w:sz w:val="24"/>
                <w:szCs w:val="24"/>
                <w:u w:val="single"/>
              </w:rPr>
              <w:lastRenderedPageBreak/>
              <w:t>Enrollees with Waiver Obligations</w:t>
            </w:r>
          </w:p>
          <w:p w14:paraId="4B960EED" w14:textId="77777777" w:rsidR="00E25CF6" w:rsidRDefault="00E25CF6" w:rsidP="00B237B7">
            <w:pPr>
              <w:tabs>
                <w:tab w:val="center" w:pos="4320"/>
                <w:tab w:val="right" w:pos="8640"/>
              </w:tabs>
              <w:spacing w:after="240"/>
            </w:pPr>
            <w:r w:rsidRPr="00B237B7">
              <w:rPr>
                <w:color w:val="000000"/>
                <w:spacing w:val="-1"/>
                <w:sz w:val="24"/>
                <w:szCs w:val="24"/>
              </w:rPr>
              <w:t xml:space="preserve">While both MSHO and MSC+ enroll people with waiver obligations, the EW rates do not include these amounts.  Enrollees are responsible for paying their </w:t>
            </w:r>
            <w:r w:rsidRPr="00B237B7">
              <w:rPr>
                <w:color w:val="000000"/>
                <w:sz w:val="24"/>
                <w:szCs w:val="24"/>
              </w:rPr>
              <w:t>waiver obligation directly to a waiver service provider.</w:t>
            </w:r>
          </w:p>
        </w:tc>
      </w:tr>
      <w:tr w:rsidR="00E25CF6" w14:paraId="3959666C" w14:textId="77777777" w:rsidTr="007C7803">
        <w:tc>
          <w:tcPr>
            <w:tcW w:w="2268" w:type="dxa"/>
            <w:shd w:val="clear" w:color="auto" w:fill="auto"/>
          </w:tcPr>
          <w:p w14:paraId="3D920608" w14:textId="77777777" w:rsidR="00E25CF6" w:rsidRPr="00016DD6" w:rsidRDefault="00E25CF6" w:rsidP="000B1368">
            <w:pPr>
              <w:spacing w:after="240"/>
              <w:rPr>
                <w:rFonts w:ascii="Calibri" w:hAnsi="Calibri" w:cs="Calibri"/>
              </w:rPr>
            </w:pPr>
            <w:r w:rsidRPr="00016DD6">
              <w:rPr>
                <w:rFonts w:ascii="Calibri" w:hAnsi="Calibri" w:cs="Calibri"/>
              </w:rPr>
              <w:lastRenderedPageBreak/>
              <w:t xml:space="preserve">AA.2.4 </w:t>
            </w:r>
          </w:p>
          <w:p w14:paraId="25FE3401" w14:textId="77777777" w:rsidR="00E25CF6" w:rsidRPr="00B237B7" w:rsidRDefault="00E25CF6" w:rsidP="00B237B7">
            <w:pPr>
              <w:tabs>
                <w:tab w:val="center" w:pos="4320"/>
                <w:tab w:val="right" w:pos="8640"/>
              </w:tabs>
              <w:spacing w:after="240"/>
              <w:rPr>
                <w:rFonts w:ascii="Calibri" w:hAnsi="Calibri" w:cs="Calibri"/>
              </w:rPr>
            </w:pPr>
            <w:r w:rsidRPr="00E40A8A">
              <w:rPr>
                <w:rFonts w:ascii="Calibri" w:hAnsi="Calibri" w:cs="Calibri"/>
              </w:rPr>
              <w:t>The State must assure that rates are based only on State Plan services (and directly related costs)</w:t>
            </w:r>
            <w:r>
              <w:rPr>
                <w:rFonts w:ascii="Calibri" w:hAnsi="Calibri" w:cs="Calibri"/>
              </w:rPr>
              <w:t>, and these costs must be specified in the contract.</w:t>
            </w:r>
          </w:p>
        </w:tc>
        <w:tc>
          <w:tcPr>
            <w:tcW w:w="7337" w:type="dxa"/>
            <w:shd w:val="clear" w:color="auto" w:fill="auto"/>
          </w:tcPr>
          <w:p w14:paraId="241DCEB3"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 xml:space="preserve">State Plan Services </w:t>
            </w:r>
            <w:r>
              <w:rPr>
                <w:b/>
                <w:bCs/>
                <w:color w:val="000000"/>
                <w:sz w:val="24"/>
                <w:szCs w:val="24"/>
              </w:rPr>
              <w:t>O</w:t>
            </w:r>
            <w:r w:rsidRPr="00B237B7">
              <w:rPr>
                <w:b/>
                <w:bCs/>
                <w:color w:val="000000"/>
                <w:sz w:val="24"/>
                <w:szCs w:val="24"/>
              </w:rPr>
              <w:t>nly</w:t>
            </w:r>
          </w:p>
          <w:p w14:paraId="68A26714" w14:textId="440AAFD1" w:rsidR="00E25CF6" w:rsidRPr="00B237B7" w:rsidRDefault="00E25CF6" w:rsidP="00610946">
            <w:pPr>
              <w:shd w:val="clear" w:color="auto" w:fill="FFFFFF"/>
              <w:tabs>
                <w:tab w:val="center" w:pos="4320"/>
                <w:tab w:val="right" w:pos="8640"/>
              </w:tabs>
              <w:spacing w:after="240"/>
              <w:rPr>
                <w:b/>
                <w:bCs/>
                <w:color w:val="000000"/>
                <w:spacing w:val="-1"/>
                <w:sz w:val="24"/>
                <w:szCs w:val="24"/>
              </w:rPr>
            </w:pPr>
            <w:r w:rsidRPr="00B237B7">
              <w:rPr>
                <w:color w:val="000000"/>
                <w:spacing w:val="-1"/>
                <w:sz w:val="24"/>
                <w:szCs w:val="24"/>
              </w:rPr>
              <w:t xml:space="preserve">The managed care contracts specify which services are to be provided and paid for </w:t>
            </w:r>
            <w:r w:rsidRPr="00B237B7">
              <w:rPr>
                <w:color w:val="000000"/>
                <w:sz w:val="24"/>
                <w:szCs w:val="24"/>
              </w:rPr>
              <w:t xml:space="preserve">with the capitation.  See Article 6 of the Contract for a listing of covered services.  All </w:t>
            </w:r>
            <w:r>
              <w:rPr>
                <w:color w:val="000000"/>
                <w:sz w:val="24"/>
                <w:szCs w:val="24"/>
              </w:rPr>
              <w:t xml:space="preserve">State Plan </w:t>
            </w:r>
            <w:r w:rsidRPr="00B237B7">
              <w:rPr>
                <w:color w:val="000000"/>
                <w:sz w:val="24"/>
                <w:szCs w:val="24"/>
              </w:rPr>
              <w:t>services covered under the contract and provided to Medical-Assistance-eligible enrollees are included in the base year data for developing the rate trends.</w:t>
            </w:r>
            <w:r w:rsidR="00610946">
              <w:rPr>
                <w:color w:val="000000"/>
                <w:sz w:val="24"/>
                <w:szCs w:val="24"/>
              </w:rPr>
              <w:t xml:space="preserve"> </w:t>
            </w:r>
            <w:r w:rsidR="00610946" w:rsidRPr="00610946">
              <w:rPr>
                <w:color w:val="000000"/>
                <w:sz w:val="24"/>
                <w:szCs w:val="24"/>
              </w:rPr>
              <w:t>The State requested data from each MCO in order to identify the amount of non-State Plan services the MCOs provide and required that the data submitted be certified by the MCO.</w:t>
            </w:r>
          </w:p>
        </w:tc>
      </w:tr>
      <w:tr w:rsidR="00E25CF6" w14:paraId="513D14BD" w14:textId="77777777" w:rsidTr="007C7803">
        <w:tc>
          <w:tcPr>
            <w:tcW w:w="2268" w:type="dxa"/>
            <w:shd w:val="clear" w:color="auto" w:fill="auto"/>
          </w:tcPr>
          <w:p w14:paraId="35BB1640"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 xml:space="preserve">AA.2.5 </w:t>
            </w:r>
            <w:r>
              <w:rPr>
                <w:rFonts w:ascii="Calibri" w:hAnsi="Calibri" w:cs="Calibri"/>
              </w:rPr>
              <w:t>Non-State Plan services may be covered but must be excluded from the rates.</w:t>
            </w:r>
          </w:p>
        </w:tc>
        <w:tc>
          <w:tcPr>
            <w:tcW w:w="7337" w:type="dxa"/>
            <w:shd w:val="clear" w:color="auto" w:fill="auto"/>
          </w:tcPr>
          <w:p w14:paraId="655166FF" w14:textId="436F8CB3" w:rsidR="00E25CF6" w:rsidRDefault="00E25CF6" w:rsidP="00B237B7">
            <w:pPr>
              <w:shd w:val="clear" w:color="auto" w:fill="FFFFFF"/>
              <w:tabs>
                <w:tab w:val="left" w:pos="1462"/>
                <w:tab w:val="center" w:pos="4320"/>
                <w:tab w:val="right" w:pos="8640"/>
              </w:tabs>
              <w:spacing w:after="240"/>
            </w:pPr>
            <w:r w:rsidRPr="00B237B7">
              <w:rPr>
                <w:b/>
                <w:bCs/>
                <w:color w:val="000000"/>
                <w:sz w:val="24"/>
                <w:szCs w:val="24"/>
              </w:rPr>
              <w:t xml:space="preserve">Services That May Be Covered By A Capitated Entity Out </w:t>
            </w:r>
            <w:r w:rsidR="00610946">
              <w:rPr>
                <w:b/>
                <w:bCs/>
                <w:color w:val="000000"/>
                <w:sz w:val="24"/>
                <w:szCs w:val="24"/>
              </w:rPr>
              <w:t>o</w:t>
            </w:r>
            <w:r w:rsidRPr="00B237B7">
              <w:rPr>
                <w:b/>
                <w:bCs/>
                <w:color w:val="000000"/>
                <w:sz w:val="24"/>
                <w:szCs w:val="24"/>
              </w:rPr>
              <w:t>f Contract Savings.</w:t>
            </w:r>
          </w:p>
          <w:p w14:paraId="7EE924FE" w14:textId="2A709CA5" w:rsidR="00E25CF6" w:rsidRPr="00B237B7" w:rsidRDefault="00440FFD" w:rsidP="00B237B7">
            <w:pPr>
              <w:shd w:val="clear" w:color="auto" w:fill="FFFFFF"/>
              <w:tabs>
                <w:tab w:val="left" w:pos="1462"/>
                <w:tab w:val="center" w:pos="4320"/>
                <w:tab w:val="right" w:pos="8640"/>
              </w:tabs>
              <w:spacing w:after="240"/>
              <w:rPr>
                <w:b/>
                <w:bCs/>
                <w:color w:val="000000"/>
                <w:spacing w:val="-1"/>
                <w:sz w:val="24"/>
                <w:szCs w:val="24"/>
              </w:rPr>
            </w:pPr>
            <w:r>
              <w:rPr>
                <w:color w:val="000000"/>
                <w:sz w:val="24"/>
                <w:szCs w:val="24"/>
              </w:rPr>
              <w:t>No material effect</w:t>
            </w:r>
            <w:r w:rsidR="00E25CF6" w:rsidRPr="00B237B7">
              <w:rPr>
                <w:color w:val="000000"/>
                <w:sz w:val="24"/>
                <w:szCs w:val="24"/>
              </w:rPr>
              <w:t>.</w:t>
            </w:r>
          </w:p>
        </w:tc>
      </w:tr>
      <w:tr w:rsidR="00E25CF6" w14:paraId="6B6EBE35" w14:textId="77777777" w:rsidTr="007C7803">
        <w:tc>
          <w:tcPr>
            <w:tcW w:w="2268" w:type="dxa"/>
            <w:shd w:val="clear" w:color="auto" w:fill="auto"/>
          </w:tcPr>
          <w:p w14:paraId="2F51893A" w14:textId="77777777" w:rsidR="00E25CF6" w:rsidRPr="00B237B7" w:rsidRDefault="00E25CF6" w:rsidP="00B237B7">
            <w:pPr>
              <w:tabs>
                <w:tab w:val="center" w:pos="4320"/>
                <w:tab w:val="right" w:pos="8640"/>
              </w:tabs>
              <w:spacing w:after="240"/>
              <w:rPr>
                <w:rFonts w:ascii="Calibri" w:hAnsi="Calibri" w:cs="Calibri"/>
              </w:rPr>
            </w:pPr>
            <w:r w:rsidRPr="00016DD6">
              <w:rPr>
                <w:rFonts w:ascii="Calibri" w:hAnsi="Calibri" w:cs="Calibri"/>
              </w:rPr>
              <w:t>AA.3.0</w:t>
            </w:r>
            <w:r>
              <w:rPr>
                <w:rFonts w:ascii="Calibri" w:hAnsi="Calibri" w:cs="Calibri"/>
              </w:rPr>
              <w:t xml:space="preserve"> The rate base must be adjusted for known factors, must not be double-counted, and must be documented. (See examples.) </w:t>
            </w:r>
          </w:p>
        </w:tc>
        <w:tc>
          <w:tcPr>
            <w:tcW w:w="7337" w:type="dxa"/>
            <w:shd w:val="clear" w:color="auto" w:fill="auto"/>
          </w:tcPr>
          <w:p w14:paraId="660A457E" w14:textId="77777777" w:rsidR="00E25CF6" w:rsidRPr="00FF6F6E" w:rsidRDefault="00E25CF6" w:rsidP="00B237B7">
            <w:pPr>
              <w:shd w:val="clear" w:color="auto" w:fill="FFFFFF"/>
              <w:tabs>
                <w:tab w:val="left" w:pos="1454"/>
                <w:tab w:val="center" w:pos="4320"/>
                <w:tab w:val="right" w:pos="8640"/>
              </w:tabs>
              <w:spacing w:after="240"/>
            </w:pPr>
            <w:r w:rsidRPr="00FF6F6E">
              <w:rPr>
                <w:b/>
                <w:bCs/>
                <w:color w:val="000000"/>
                <w:sz w:val="24"/>
                <w:szCs w:val="24"/>
              </w:rPr>
              <w:t>Adjustments to the Base Year Data</w:t>
            </w:r>
          </w:p>
          <w:p w14:paraId="3318E14B" w14:textId="77777777" w:rsidR="00E25CF6" w:rsidRPr="00FF6F6E" w:rsidRDefault="00E25CF6" w:rsidP="00B237B7">
            <w:pPr>
              <w:shd w:val="clear" w:color="auto" w:fill="FFFFFF"/>
              <w:tabs>
                <w:tab w:val="center" w:pos="4320"/>
                <w:tab w:val="right" w:pos="8640"/>
              </w:tabs>
              <w:spacing w:after="240"/>
              <w:rPr>
                <w:u w:val="single"/>
              </w:rPr>
            </w:pPr>
            <w:r w:rsidRPr="00FF6F6E">
              <w:rPr>
                <w:color w:val="000000"/>
                <w:sz w:val="24"/>
                <w:szCs w:val="24"/>
                <w:u w:val="single"/>
              </w:rPr>
              <w:t>Basic Care</w:t>
            </w:r>
          </w:p>
          <w:p w14:paraId="5C87D103" w14:textId="717B601B" w:rsidR="00E25CF6" w:rsidRDefault="002D3BF0" w:rsidP="00C25333">
            <w:pPr>
              <w:shd w:val="clear" w:color="auto" w:fill="FFFFFF"/>
              <w:tabs>
                <w:tab w:val="left" w:pos="1462"/>
                <w:tab w:val="center" w:pos="4320"/>
                <w:tab w:val="right" w:pos="8640"/>
              </w:tabs>
              <w:spacing w:after="240"/>
              <w:rPr>
                <w:color w:val="000000"/>
                <w:sz w:val="24"/>
                <w:szCs w:val="24"/>
              </w:rPr>
            </w:pPr>
            <w:r w:rsidRPr="002D3BF0">
              <w:rPr>
                <w:color w:val="000000"/>
                <w:spacing w:val="-1"/>
                <w:sz w:val="24"/>
                <w:szCs w:val="24"/>
              </w:rPr>
              <w:t>Attachment A</w:t>
            </w:r>
            <w:r w:rsidR="00E25CF6">
              <w:rPr>
                <w:color w:val="000000"/>
                <w:spacing w:val="-1"/>
                <w:sz w:val="24"/>
                <w:szCs w:val="24"/>
              </w:rPr>
              <w:t xml:space="preserve">, Section </w:t>
            </w:r>
            <w:r w:rsidR="00502882">
              <w:rPr>
                <w:color w:val="000000"/>
                <w:spacing w:val="-1"/>
                <w:sz w:val="24"/>
                <w:szCs w:val="24"/>
              </w:rPr>
              <w:t>II</w:t>
            </w:r>
            <w:r w:rsidR="00E25CF6" w:rsidRPr="00FF6F6E">
              <w:rPr>
                <w:color w:val="000000"/>
                <w:spacing w:val="-1"/>
                <w:sz w:val="24"/>
                <w:szCs w:val="24"/>
              </w:rPr>
              <w:t xml:space="preserve"> provides the documentation of rate cell adjustments made </w:t>
            </w:r>
            <w:r w:rsidR="00502882">
              <w:rPr>
                <w:color w:val="000000"/>
                <w:sz w:val="24"/>
                <w:szCs w:val="24"/>
              </w:rPr>
              <w:t xml:space="preserve">for </w:t>
            </w:r>
            <w:r w:rsidR="00E25CF6" w:rsidRPr="00FF6F6E">
              <w:rPr>
                <w:color w:val="000000"/>
                <w:sz w:val="24"/>
                <w:szCs w:val="24"/>
              </w:rPr>
              <w:t xml:space="preserve">anticipated benefit and eligibility changes.  There are no eligibility changes for </w:t>
            </w:r>
            <w:r w:rsidR="00502882">
              <w:t xml:space="preserve"> </w:t>
            </w:r>
            <w:r w:rsidR="00502882" w:rsidRPr="00502882">
              <w:rPr>
                <w:color w:val="000000"/>
                <w:sz w:val="24"/>
                <w:szCs w:val="24"/>
              </w:rPr>
              <w:t>the upcoming year</w:t>
            </w:r>
            <w:r w:rsidR="00E25CF6" w:rsidRPr="00FF6F6E">
              <w:rPr>
                <w:color w:val="000000"/>
                <w:sz w:val="24"/>
                <w:szCs w:val="24"/>
              </w:rPr>
              <w:t xml:space="preserve"> that affect rates for seniors’ products.</w:t>
            </w:r>
          </w:p>
          <w:p w14:paraId="616A46F7" w14:textId="77777777" w:rsidR="00E25CF6" w:rsidRPr="002462E4" w:rsidRDefault="00E25CF6" w:rsidP="00525DDB">
            <w:pPr>
              <w:shd w:val="clear" w:color="auto" w:fill="FFFFFF"/>
              <w:tabs>
                <w:tab w:val="left" w:pos="1462"/>
                <w:tab w:val="center" w:pos="4320"/>
                <w:tab w:val="right" w:pos="8640"/>
              </w:tabs>
              <w:spacing w:after="240"/>
              <w:rPr>
                <w:color w:val="000000"/>
                <w:sz w:val="24"/>
                <w:szCs w:val="24"/>
                <w:u w:val="single"/>
              </w:rPr>
            </w:pPr>
            <w:r w:rsidRPr="002462E4">
              <w:rPr>
                <w:color w:val="000000"/>
                <w:sz w:val="24"/>
                <w:szCs w:val="24"/>
                <w:u w:val="single"/>
              </w:rPr>
              <w:t>Elderly Waiver (EW)</w:t>
            </w:r>
          </w:p>
          <w:p w14:paraId="45315AA1" w14:textId="2E7E12AD" w:rsidR="00E25CF6" w:rsidRPr="00FF6F6E" w:rsidRDefault="002D3BF0" w:rsidP="00525DDB">
            <w:pPr>
              <w:shd w:val="clear" w:color="auto" w:fill="FFFFFF"/>
              <w:tabs>
                <w:tab w:val="left" w:pos="1462"/>
                <w:tab w:val="center" w:pos="4320"/>
                <w:tab w:val="right" w:pos="8640"/>
              </w:tabs>
              <w:spacing w:after="240"/>
              <w:rPr>
                <w:color w:val="000000"/>
                <w:sz w:val="24"/>
                <w:szCs w:val="24"/>
              </w:rPr>
            </w:pPr>
            <w:r w:rsidRPr="002D3BF0">
              <w:rPr>
                <w:color w:val="000000"/>
                <w:sz w:val="24"/>
                <w:szCs w:val="24"/>
              </w:rPr>
              <w:t>Attachment A</w:t>
            </w:r>
            <w:r w:rsidR="00E25CF6">
              <w:rPr>
                <w:color w:val="000000"/>
                <w:sz w:val="24"/>
                <w:szCs w:val="24"/>
              </w:rPr>
              <w:t>, S</w:t>
            </w:r>
            <w:r w:rsidR="00E25CF6" w:rsidRPr="00FF6F6E">
              <w:rPr>
                <w:color w:val="000000"/>
                <w:sz w:val="24"/>
                <w:szCs w:val="24"/>
              </w:rPr>
              <w:t xml:space="preserve">ection </w:t>
            </w:r>
            <w:r w:rsidR="00502882">
              <w:rPr>
                <w:color w:val="000000"/>
                <w:sz w:val="24"/>
                <w:szCs w:val="24"/>
              </w:rPr>
              <w:t>III</w:t>
            </w:r>
            <w:r w:rsidR="00E25CF6" w:rsidRPr="00FF6F6E">
              <w:rPr>
                <w:color w:val="000000"/>
                <w:sz w:val="24"/>
                <w:szCs w:val="24"/>
              </w:rPr>
              <w:t xml:space="preserve"> provi</w:t>
            </w:r>
            <w:r w:rsidR="00E25CF6" w:rsidRPr="00182CC6">
              <w:rPr>
                <w:color w:val="000000"/>
                <w:sz w:val="24"/>
                <w:szCs w:val="24"/>
              </w:rPr>
              <w:t>des the documentation of the adjustments made to the 20</w:t>
            </w:r>
            <w:r w:rsidR="00502882" w:rsidRPr="00182CC6">
              <w:rPr>
                <w:color w:val="000000"/>
                <w:sz w:val="24"/>
                <w:szCs w:val="24"/>
              </w:rPr>
              <w:t>1</w:t>
            </w:r>
            <w:r w:rsidR="00182CC6" w:rsidRPr="00182CC6">
              <w:rPr>
                <w:color w:val="000000"/>
                <w:sz w:val="24"/>
                <w:szCs w:val="24"/>
              </w:rPr>
              <w:t>3</w:t>
            </w:r>
            <w:r w:rsidR="00E25CF6" w:rsidRPr="00182CC6">
              <w:rPr>
                <w:color w:val="000000"/>
                <w:sz w:val="24"/>
                <w:szCs w:val="24"/>
              </w:rPr>
              <w:t xml:space="preserve"> trended base costs.  </w:t>
            </w:r>
            <w:r w:rsidR="00182CC6">
              <w:rPr>
                <w:color w:val="000000"/>
                <w:sz w:val="24"/>
                <w:szCs w:val="24"/>
              </w:rPr>
              <w:t>T</w:t>
            </w:r>
            <w:r w:rsidR="00E25CF6" w:rsidRPr="00182CC6">
              <w:rPr>
                <w:color w:val="000000"/>
                <w:sz w:val="24"/>
                <w:szCs w:val="24"/>
              </w:rPr>
              <w:t xml:space="preserve">here are no eligibility changes for </w:t>
            </w:r>
            <w:r w:rsidR="00502882" w:rsidRPr="00182CC6">
              <w:rPr>
                <w:color w:val="000000"/>
                <w:sz w:val="24"/>
                <w:szCs w:val="24"/>
              </w:rPr>
              <w:t>the upcoming year</w:t>
            </w:r>
            <w:r w:rsidR="00502882" w:rsidRPr="00502882" w:rsidDel="00502882">
              <w:rPr>
                <w:color w:val="000000"/>
                <w:sz w:val="24"/>
                <w:szCs w:val="24"/>
              </w:rPr>
              <w:t xml:space="preserve"> </w:t>
            </w:r>
            <w:r w:rsidR="00E25CF6" w:rsidRPr="00FF6F6E">
              <w:rPr>
                <w:color w:val="000000"/>
                <w:sz w:val="24"/>
                <w:szCs w:val="24"/>
              </w:rPr>
              <w:t>that affect the EW Add-on rates.</w:t>
            </w:r>
          </w:p>
          <w:p w14:paraId="116EB7B8" w14:textId="77777777" w:rsidR="00E25CF6" w:rsidRPr="00FF6F6E" w:rsidRDefault="00E25CF6" w:rsidP="00C25333">
            <w:pPr>
              <w:shd w:val="clear" w:color="auto" w:fill="FFFFFF"/>
              <w:tabs>
                <w:tab w:val="left" w:pos="1462"/>
                <w:tab w:val="center" w:pos="4320"/>
                <w:tab w:val="right" w:pos="8640"/>
              </w:tabs>
              <w:spacing w:after="240"/>
              <w:rPr>
                <w:color w:val="000000"/>
                <w:sz w:val="24"/>
                <w:szCs w:val="24"/>
                <w:u w:val="single"/>
              </w:rPr>
            </w:pPr>
            <w:r w:rsidRPr="00FF6F6E">
              <w:rPr>
                <w:color w:val="000000"/>
                <w:sz w:val="24"/>
                <w:szCs w:val="24"/>
                <w:u w:val="single"/>
              </w:rPr>
              <w:t>Nursing Facility (NF)</w:t>
            </w:r>
          </w:p>
          <w:p w14:paraId="5F8AD087" w14:textId="6B87B4DC" w:rsidR="00E31AA0" w:rsidRPr="00232600" w:rsidRDefault="00E25CF6" w:rsidP="00533FEE">
            <w:pPr>
              <w:shd w:val="clear" w:color="auto" w:fill="FFFFFF"/>
              <w:tabs>
                <w:tab w:val="left" w:pos="1462"/>
                <w:tab w:val="center" w:pos="4320"/>
                <w:tab w:val="right" w:pos="8640"/>
              </w:tabs>
              <w:spacing w:after="240"/>
              <w:rPr>
                <w:color w:val="000000"/>
                <w:sz w:val="24"/>
                <w:szCs w:val="24"/>
              </w:rPr>
            </w:pPr>
            <w:r w:rsidRPr="00FF6F6E">
              <w:rPr>
                <w:color w:val="000000"/>
                <w:sz w:val="24"/>
                <w:szCs w:val="24"/>
              </w:rPr>
              <w:t xml:space="preserve">No benefit and eligibility changes were needed.  See </w:t>
            </w:r>
            <w:r w:rsidR="002D3BF0" w:rsidRPr="002D3BF0">
              <w:rPr>
                <w:color w:val="000000"/>
                <w:sz w:val="24"/>
                <w:szCs w:val="24"/>
              </w:rPr>
              <w:t>Attachment A</w:t>
            </w:r>
            <w:r>
              <w:rPr>
                <w:color w:val="000000"/>
                <w:sz w:val="24"/>
                <w:szCs w:val="24"/>
              </w:rPr>
              <w:t>, S</w:t>
            </w:r>
            <w:r w:rsidRPr="00FF6F6E">
              <w:rPr>
                <w:color w:val="000000"/>
                <w:sz w:val="24"/>
                <w:szCs w:val="24"/>
              </w:rPr>
              <w:t xml:space="preserve">ection </w:t>
            </w:r>
            <w:r w:rsidR="00502882">
              <w:rPr>
                <w:color w:val="000000"/>
                <w:sz w:val="24"/>
                <w:szCs w:val="24"/>
              </w:rPr>
              <w:t>IV</w:t>
            </w:r>
            <w:r w:rsidRPr="00FF6F6E">
              <w:rPr>
                <w:color w:val="000000"/>
                <w:sz w:val="24"/>
                <w:szCs w:val="24"/>
              </w:rPr>
              <w:t xml:space="preserve">. </w:t>
            </w:r>
          </w:p>
        </w:tc>
      </w:tr>
      <w:tr w:rsidR="00E25CF6" w14:paraId="148FD90F" w14:textId="77777777" w:rsidTr="007C7803">
        <w:tc>
          <w:tcPr>
            <w:tcW w:w="2268" w:type="dxa"/>
            <w:shd w:val="clear" w:color="auto" w:fill="auto"/>
          </w:tcPr>
          <w:p w14:paraId="1283D810" w14:textId="77777777" w:rsidR="00E25CF6" w:rsidRDefault="00E25CF6" w:rsidP="000B1368">
            <w:pPr>
              <w:spacing w:after="240"/>
              <w:rPr>
                <w:rFonts w:ascii="Calibri" w:hAnsi="Calibri" w:cs="Calibri"/>
              </w:rPr>
            </w:pPr>
            <w:r w:rsidRPr="00016DD6">
              <w:rPr>
                <w:rFonts w:ascii="Calibri" w:hAnsi="Calibri" w:cs="Calibri"/>
              </w:rPr>
              <w:t xml:space="preserve">AA.3.1 </w:t>
            </w:r>
          </w:p>
          <w:p w14:paraId="6BB6A13B" w14:textId="77777777" w:rsidR="00E25CF6" w:rsidRDefault="00E25CF6" w:rsidP="004D4FA3">
            <w:pPr>
              <w:tabs>
                <w:tab w:val="center" w:pos="4320"/>
                <w:tab w:val="right" w:pos="8640"/>
              </w:tabs>
              <w:spacing w:after="240"/>
              <w:rPr>
                <w:rFonts w:ascii="Calibri" w:hAnsi="Calibri" w:cs="Calibri"/>
              </w:rPr>
            </w:pPr>
            <w:r>
              <w:rPr>
                <w:rFonts w:ascii="Calibri" w:hAnsi="Calibri" w:cs="Calibri"/>
              </w:rPr>
              <w:t xml:space="preserve">Differences between the base year and the contract year must be adjusted and </w:t>
            </w:r>
            <w:r>
              <w:rPr>
                <w:rFonts w:ascii="Calibri" w:hAnsi="Calibri" w:cs="Calibri"/>
              </w:rPr>
              <w:lastRenderedPageBreak/>
              <w:t xml:space="preserve">documented. </w:t>
            </w:r>
          </w:p>
          <w:p w14:paraId="585453E3" w14:textId="77777777" w:rsidR="009E1EB7" w:rsidRDefault="009E1EB7" w:rsidP="004D4FA3">
            <w:pPr>
              <w:tabs>
                <w:tab w:val="center" w:pos="4320"/>
                <w:tab w:val="right" w:pos="8640"/>
              </w:tabs>
              <w:spacing w:after="240"/>
              <w:rPr>
                <w:rFonts w:ascii="Calibri" w:hAnsi="Calibri" w:cs="Calibri"/>
              </w:rPr>
            </w:pPr>
          </w:p>
          <w:p w14:paraId="36230441" w14:textId="77777777" w:rsidR="009E1EB7" w:rsidRDefault="009E1EB7" w:rsidP="004D4FA3">
            <w:pPr>
              <w:tabs>
                <w:tab w:val="center" w:pos="4320"/>
                <w:tab w:val="right" w:pos="8640"/>
              </w:tabs>
              <w:spacing w:after="240"/>
              <w:rPr>
                <w:rFonts w:ascii="Calibri" w:hAnsi="Calibri" w:cs="Calibri"/>
              </w:rPr>
            </w:pPr>
          </w:p>
          <w:p w14:paraId="786714D1" w14:textId="77777777" w:rsidR="009E1EB7" w:rsidRDefault="009E1EB7" w:rsidP="004D4FA3">
            <w:pPr>
              <w:tabs>
                <w:tab w:val="center" w:pos="4320"/>
                <w:tab w:val="right" w:pos="8640"/>
              </w:tabs>
              <w:spacing w:after="240"/>
              <w:rPr>
                <w:rFonts w:ascii="Calibri" w:hAnsi="Calibri" w:cs="Calibri"/>
              </w:rPr>
            </w:pPr>
          </w:p>
          <w:p w14:paraId="259682A6" w14:textId="77777777" w:rsidR="009E1EB7" w:rsidRDefault="009E1EB7" w:rsidP="004D4FA3">
            <w:pPr>
              <w:tabs>
                <w:tab w:val="center" w:pos="4320"/>
                <w:tab w:val="right" w:pos="8640"/>
              </w:tabs>
              <w:spacing w:after="240"/>
              <w:rPr>
                <w:rFonts w:ascii="Calibri" w:hAnsi="Calibri" w:cs="Calibri"/>
              </w:rPr>
            </w:pPr>
          </w:p>
          <w:p w14:paraId="7A99AECA" w14:textId="77777777" w:rsidR="009E1EB7" w:rsidRDefault="009E1EB7" w:rsidP="004D4FA3">
            <w:pPr>
              <w:tabs>
                <w:tab w:val="center" w:pos="4320"/>
                <w:tab w:val="right" w:pos="8640"/>
              </w:tabs>
              <w:spacing w:after="240"/>
              <w:rPr>
                <w:rFonts w:ascii="Calibri" w:hAnsi="Calibri" w:cs="Calibri"/>
              </w:rPr>
            </w:pPr>
            <w:r w:rsidRPr="009E1EB7">
              <w:rPr>
                <w:rFonts w:ascii="Calibri" w:hAnsi="Calibri" w:cs="Calibri"/>
              </w:rPr>
              <w:t>AA.3.1</w:t>
            </w:r>
            <w:r>
              <w:rPr>
                <w:rFonts w:ascii="Calibri" w:hAnsi="Calibri" w:cs="Calibri"/>
              </w:rPr>
              <w:t xml:space="preserve"> continued</w:t>
            </w:r>
          </w:p>
          <w:p w14:paraId="74D3640E" w14:textId="77777777" w:rsidR="009E1EB7" w:rsidRDefault="009E1EB7" w:rsidP="004D4FA3">
            <w:pPr>
              <w:tabs>
                <w:tab w:val="center" w:pos="4320"/>
                <w:tab w:val="right" w:pos="8640"/>
              </w:tabs>
              <w:spacing w:after="240"/>
              <w:rPr>
                <w:rFonts w:ascii="Calibri" w:hAnsi="Calibri" w:cs="Calibri"/>
              </w:rPr>
            </w:pPr>
          </w:p>
          <w:p w14:paraId="6CB263D8" w14:textId="77777777" w:rsidR="009E1EB7" w:rsidRDefault="009E1EB7" w:rsidP="004D4FA3">
            <w:pPr>
              <w:tabs>
                <w:tab w:val="center" w:pos="4320"/>
                <w:tab w:val="right" w:pos="8640"/>
              </w:tabs>
              <w:spacing w:after="240"/>
              <w:rPr>
                <w:rFonts w:ascii="Calibri" w:hAnsi="Calibri" w:cs="Calibri"/>
              </w:rPr>
            </w:pPr>
          </w:p>
          <w:p w14:paraId="12AD51EE" w14:textId="77777777" w:rsidR="009E1EB7" w:rsidRDefault="009E1EB7" w:rsidP="004D4FA3">
            <w:pPr>
              <w:tabs>
                <w:tab w:val="center" w:pos="4320"/>
                <w:tab w:val="right" w:pos="8640"/>
              </w:tabs>
              <w:spacing w:after="240"/>
              <w:rPr>
                <w:rFonts w:ascii="Calibri" w:hAnsi="Calibri" w:cs="Calibri"/>
              </w:rPr>
            </w:pPr>
          </w:p>
          <w:p w14:paraId="1E2CBFB3" w14:textId="77777777" w:rsidR="009E1EB7" w:rsidRDefault="009E1EB7" w:rsidP="004D4FA3">
            <w:pPr>
              <w:tabs>
                <w:tab w:val="center" w:pos="4320"/>
                <w:tab w:val="right" w:pos="8640"/>
              </w:tabs>
              <w:spacing w:after="240"/>
              <w:rPr>
                <w:rFonts w:ascii="Calibri" w:hAnsi="Calibri" w:cs="Calibri"/>
              </w:rPr>
            </w:pPr>
          </w:p>
          <w:p w14:paraId="35C2FE42" w14:textId="77777777" w:rsidR="009E1EB7" w:rsidRDefault="009E1EB7" w:rsidP="004D4FA3">
            <w:pPr>
              <w:tabs>
                <w:tab w:val="center" w:pos="4320"/>
                <w:tab w:val="right" w:pos="8640"/>
              </w:tabs>
              <w:spacing w:after="240"/>
              <w:rPr>
                <w:rFonts w:ascii="Calibri" w:hAnsi="Calibri" w:cs="Calibri"/>
              </w:rPr>
            </w:pPr>
          </w:p>
          <w:p w14:paraId="14A107B7" w14:textId="77777777" w:rsidR="009E1EB7" w:rsidRDefault="009E1EB7" w:rsidP="004D4FA3">
            <w:pPr>
              <w:tabs>
                <w:tab w:val="center" w:pos="4320"/>
                <w:tab w:val="right" w:pos="8640"/>
              </w:tabs>
              <w:spacing w:after="240"/>
              <w:rPr>
                <w:rFonts w:ascii="Calibri" w:hAnsi="Calibri" w:cs="Calibri"/>
              </w:rPr>
            </w:pPr>
          </w:p>
          <w:p w14:paraId="00B1B3E0" w14:textId="77777777" w:rsidR="009E1EB7" w:rsidRDefault="009E1EB7" w:rsidP="004D4FA3">
            <w:pPr>
              <w:tabs>
                <w:tab w:val="center" w:pos="4320"/>
                <w:tab w:val="right" w:pos="8640"/>
              </w:tabs>
              <w:spacing w:after="240"/>
              <w:rPr>
                <w:rFonts w:ascii="Calibri" w:hAnsi="Calibri" w:cs="Calibri"/>
              </w:rPr>
            </w:pPr>
          </w:p>
          <w:p w14:paraId="3C4E5B49" w14:textId="77777777" w:rsidR="009E1EB7" w:rsidRDefault="009E1EB7" w:rsidP="004D4FA3">
            <w:pPr>
              <w:tabs>
                <w:tab w:val="center" w:pos="4320"/>
                <w:tab w:val="right" w:pos="8640"/>
              </w:tabs>
              <w:spacing w:after="240"/>
              <w:rPr>
                <w:rFonts w:ascii="Calibri" w:hAnsi="Calibri" w:cs="Calibri"/>
              </w:rPr>
            </w:pPr>
          </w:p>
          <w:p w14:paraId="2510E13B" w14:textId="77777777" w:rsidR="009E1EB7" w:rsidRDefault="009E1EB7" w:rsidP="004D4FA3">
            <w:pPr>
              <w:tabs>
                <w:tab w:val="center" w:pos="4320"/>
                <w:tab w:val="right" w:pos="8640"/>
              </w:tabs>
              <w:spacing w:after="240"/>
              <w:rPr>
                <w:rFonts w:ascii="Calibri" w:hAnsi="Calibri" w:cs="Calibri"/>
              </w:rPr>
            </w:pPr>
          </w:p>
          <w:p w14:paraId="139D4DFB" w14:textId="77777777" w:rsidR="009E1EB7" w:rsidRDefault="009E1EB7" w:rsidP="004D4FA3">
            <w:pPr>
              <w:tabs>
                <w:tab w:val="center" w:pos="4320"/>
                <w:tab w:val="right" w:pos="8640"/>
              </w:tabs>
              <w:spacing w:after="240"/>
              <w:rPr>
                <w:rFonts w:ascii="Calibri" w:hAnsi="Calibri" w:cs="Calibri"/>
              </w:rPr>
            </w:pPr>
          </w:p>
          <w:p w14:paraId="14C55CD8" w14:textId="77777777" w:rsidR="009E1EB7" w:rsidRDefault="009E1EB7" w:rsidP="004D4FA3">
            <w:pPr>
              <w:tabs>
                <w:tab w:val="center" w:pos="4320"/>
                <w:tab w:val="right" w:pos="8640"/>
              </w:tabs>
              <w:spacing w:after="240"/>
              <w:rPr>
                <w:rFonts w:ascii="Calibri" w:hAnsi="Calibri" w:cs="Calibri"/>
              </w:rPr>
            </w:pPr>
          </w:p>
          <w:p w14:paraId="728788F5" w14:textId="77777777" w:rsidR="009E1EB7" w:rsidRDefault="009E1EB7" w:rsidP="004D4FA3">
            <w:pPr>
              <w:tabs>
                <w:tab w:val="center" w:pos="4320"/>
                <w:tab w:val="right" w:pos="8640"/>
              </w:tabs>
              <w:spacing w:after="240"/>
              <w:rPr>
                <w:rFonts w:ascii="Calibri" w:hAnsi="Calibri" w:cs="Calibri"/>
              </w:rPr>
            </w:pPr>
          </w:p>
          <w:p w14:paraId="549E0B93" w14:textId="77777777" w:rsidR="009E1EB7" w:rsidRDefault="009E1EB7" w:rsidP="004D4FA3">
            <w:pPr>
              <w:tabs>
                <w:tab w:val="center" w:pos="4320"/>
                <w:tab w:val="right" w:pos="8640"/>
              </w:tabs>
              <w:spacing w:after="240"/>
              <w:rPr>
                <w:rFonts w:ascii="Calibri" w:hAnsi="Calibri" w:cs="Calibri"/>
              </w:rPr>
            </w:pPr>
          </w:p>
          <w:p w14:paraId="4E2EE7E2" w14:textId="77777777" w:rsidR="009E1EB7" w:rsidRDefault="009E1EB7" w:rsidP="004D4FA3">
            <w:pPr>
              <w:tabs>
                <w:tab w:val="center" w:pos="4320"/>
                <w:tab w:val="right" w:pos="8640"/>
              </w:tabs>
              <w:spacing w:after="240"/>
              <w:rPr>
                <w:rFonts w:ascii="Calibri" w:hAnsi="Calibri" w:cs="Calibri"/>
              </w:rPr>
            </w:pPr>
          </w:p>
          <w:p w14:paraId="7882AF00" w14:textId="77777777" w:rsidR="009E1EB7" w:rsidRDefault="009E1EB7" w:rsidP="004D4FA3">
            <w:pPr>
              <w:tabs>
                <w:tab w:val="center" w:pos="4320"/>
                <w:tab w:val="right" w:pos="8640"/>
              </w:tabs>
              <w:spacing w:after="240"/>
              <w:rPr>
                <w:rFonts w:ascii="Calibri" w:hAnsi="Calibri" w:cs="Calibri"/>
              </w:rPr>
            </w:pPr>
          </w:p>
          <w:p w14:paraId="48809467" w14:textId="77777777" w:rsidR="009E1EB7" w:rsidRDefault="009E1EB7" w:rsidP="004D4FA3">
            <w:pPr>
              <w:tabs>
                <w:tab w:val="center" w:pos="4320"/>
                <w:tab w:val="right" w:pos="8640"/>
              </w:tabs>
              <w:spacing w:after="240"/>
              <w:rPr>
                <w:rFonts w:ascii="Calibri" w:hAnsi="Calibri" w:cs="Calibri"/>
              </w:rPr>
            </w:pPr>
          </w:p>
          <w:p w14:paraId="07CA0192" w14:textId="77777777" w:rsidR="009E1EB7" w:rsidRDefault="009E1EB7" w:rsidP="004D4FA3">
            <w:pPr>
              <w:tabs>
                <w:tab w:val="center" w:pos="4320"/>
                <w:tab w:val="right" w:pos="8640"/>
              </w:tabs>
              <w:spacing w:after="240"/>
              <w:rPr>
                <w:rFonts w:ascii="Calibri" w:hAnsi="Calibri" w:cs="Calibri"/>
              </w:rPr>
            </w:pPr>
          </w:p>
          <w:p w14:paraId="6BAB02D2" w14:textId="77777777" w:rsidR="009E1EB7" w:rsidRDefault="009E1EB7" w:rsidP="004D4FA3">
            <w:pPr>
              <w:tabs>
                <w:tab w:val="center" w:pos="4320"/>
                <w:tab w:val="right" w:pos="8640"/>
              </w:tabs>
              <w:spacing w:after="240"/>
              <w:rPr>
                <w:rFonts w:ascii="Calibri" w:hAnsi="Calibri" w:cs="Calibri"/>
              </w:rPr>
            </w:pPr>
          </w:p>
          <w:p w14:paraId="1A9828C1" w14:textId="77777777" w:rsidR="009E1EB7" w:rsidRDefault="009E1EB7" w:rsidP="004D4FA3">
            <w:pPr>
              <w:tabs>
                <w:tab w:val="center" w:pos="4320"/>
                <w:tab w:val="right" w:pos="8640"/>
              </w:tabs>
              <w:spacing w:after="240"/>
              <w:rPr>
                <w:rFonts w:ascii="Calibri" w:hAnsi="Calibri" w:cs="Calibri"/>
              </w:rPr>
            </w:pPr>
          </w:p>
          <w:p w14:paraId="5A602E55" w14:textId="77777777" w:rsidR="009E1EB7" w:rsidRDefault="009E1EB7" w:rsidP="004D4FA3">
            <w:pPr>
              <w:tabs>
                <w:tab w:val="center" w:pos="4320"/>
                <w:tab w:val="right" w:pos="8640"/>
              </w:tabs>
              <w:spacing w:after="240"/>
              <w:rPr>
                <w:rFonts w:ascii="Calibri" w:hAnsi="Calibri" w:cs="Calibri"/>
              </w:rPr>
            </w:pPr>
          </w:p>
          <w:p w14:paraId="36DE51E4" w14:textId="77777777" w:rsidR="009E1EB7" w:rsidRDefault="009E1EB7" w:rsidP="004D4FA3">
            <w:pPr>
              <w:tabs>
                <w:tab w:val="center" w:pos="4320"/>
                <w:tab w:val="right" w:pos="8640"/>
              </w:tabs>
              <w:spacing w:after="240"/>
              <w:rPr>
                <w:rFonts w:ascii="Calibri" w:hAnsi="Calibri" w:cs="Calibri"/>
              </w:rPr>
            </w:pPr>
          </w:p>
          <w:p w14:paraId="09F85799" w14:textId="06E829D8" w:rsidR="009E1EB7" w:rsidRDefault="009E1EB7" w:rsidP="004D4FA3">
            <w:pPr>
              <w:tabs>
                <w:tab w:val="center" w:pos="4320"/>
                <w:tab w:val="right" w:pos="8640"/>
              </w:tabs>
              <w:spacing w:after="240"/>
              <w:rPr>
                <w:rFonts w:ascii="Calibri" w:hAnsi="Calibri" w:cs="Calibri"/>
              </w:rPr>
            </w:pPr>
            <w:r w:rsidRPr="009E1EB7">
              <w:rPr>
                <w:rFonts w:ascii="Calibri" w:hAnsi="Calibri" w:cs="Calibri"/>
              </w:rPr>
              <w:t>AA.3.1 continued</w:t>
            </w:r>
          </w:p>
          <w:p w14:paraId="1399FF44" w14:textId="77777777" w:rsidR="009E1EB7" w:rsidRDefault="009E1EB7" w:rsidP="004D4FA3">
            <w:pPr>
              <w:tabs>
                <w:tab w:val="center" w:pos="4320"/>
                <w:tab w:val="right" w:pos="8640"/>
              </w:tabs>
              <w:spacing w:after="240"/>
              <w:rPr>
                <w:rFonts w:ascii="Calibri" w:hAnsi="Calibri" w:cs="Calibri"/>
              </w:rPr>
            </w:pPr>
          </w:p>
          <w:p w14:paraId="15E2853C" w14:textId="77777777" w:rsidR="009E1EB7" w:rsidRDefault="009E1EB7" w:rsidP="004D4FA3">
            <w:pPr>
              <w:tabs>
                <w:tab w:val="center" w:pos="4320"/>
                <w:tab w:val="right" w:pos="8640"/>
              </w:tabs>
              <w:spacing w:after="240"/>
              <w:rPr>
                <w:rFonts w:ascii="Calibri" w:hAnsi="Calibri" w:cs="Calibri"/>
              </w:rPr>
            </w:pPr>
          </w:p>
          <w:p w14:paraId="2E1E04BF" w14:textId="77777777" w:rsidR="009E1EB7" w:rsidRDefault="009E1EB7" w:rsidP="004D4FA3">
            <w:pPr>
              <w:tabs>
                <w:tab w:val="center" w:pos="4320"/>
                <w:tab w:val="right" w:pos="8640"/>
              </w:tabs>
              <w:spacing w:after="240"/>
              <w:rPr>
                <w:rFonts w:ascii="Calibri" w:hAnsi="Calibri" w:cs="Calibri"/>
              </w:rPr>
            </w:pPr>
          </w:p>
          <w:p w14:paraId="50A8E4D5" w14:textId="77777777" w:rsidR="009E1EB7" w:rsidRDefault="009E1EB7" w:rsidP="004D4FA3">
            <w:pPr>
              <w:tabs>
                <w:tab w:val="center" w:pos="4320"/>
                <w:tab w:val="right" w:pos="8640"/>
              </w:tabs>
              <w:spacing w:after="240"/>
              <w:rPr>
                <w:rFonts w:ascii="Calibri" w:hAnsi="Calibri" w:cs="Calibri"/>
              </w:rPr>
            </w:pPr>
          </w:p>
          <w:p w14:paraId="7A5FAA39" w14:textId="77777777" w:rsidR="009E1EB7" w:rsidRDefault="009E1EB7" w:rsidP="004D4FA3">
            <w:pPr>
              <w:tabs>
                <w:tab w:val="center" w:pos="4320"/>
                <w:tab w:val="right" w:pos="8640"/>
              </w:tabs>
              <w:spacing w:after="240"/>
              <w:rPr>
                <w:rFonts w:ascii="Calibri" w:hAnsi="Calibri" w:cs="Calibri"/>
              </w:rPr>
            </w:pPr>
          </w:p>
          <w:p w14:paraId="43124DA9" w14:textId="77777777" w:rsidR="009E1EB7" w:rsidRDefault="009E1EB7" w:rsidP="004D4FA3">
            <w:pPr>
              <w:tabs>
                <w:tab w:val="center" w:pos="4320"/>
                <w:tab w:val="right" w:pos="8640"/>
              </w:tabs>
              <w:spacing w:after="240"/>
              <w:rPr>
                <w:rFonts w:ascii="Calibri" w:hAnsi="Calibri" w:cs="Calibri"/>
              </w:rPr>
            </w:pPr>
          </w:p>
          <w:p w14:paraId="303A1719" w14:textId="77777777" w:rsidR="009E1EB7" w:rsidRDefault="009E1EB7" w:rsidP="004D4FA3">
            <w:pPr>
              <w:tabs>
                <w:tab w:val="center" w:pos="4320"/>
                <w:tab w:val="right" w:pos="8640"/>
              </w:tabs>
              <w:spacing w:after="240"/>
              <w:rPr>
                <w:rFonts w:ascii="Calibri" w:hAnsi="Calibri" w:cs="Calibri"/>
              </w:rPr>
            </w:pPr>
          </w:p>
          <w:p w14:paraId="3F94F798" w14:textId="77777777" w:rsidR="009E1EB7" w:rsidRDefault="009E1EB7" w:rsidP="004D4FA3">
            <w:pPr>
              <w:tabs>
                <w:tab w:val="center" w:pos="4320"/>
                <w:tab w:val="right" w:pos="8640"/>
              </w:tabs>
              <w:spacing w:after="240"/>
              <w:rPr>
                <w:rFonts w:ascii="Calibri" w:hAnsi="Calibri" w:cs="Calibri"/>
              </w:rPr>
            </w:pPr>
          </w:p>
          <w:p w14:paraId="50EB5012" w14:textId="77777777" w:rsidR="009E1EB7" w:rsidRDefault="009E1EB7" w:rsidP="004D4FA3">
            <w:pPr>
              <w:tabs>
                <w:tab w:val="center" w:pos="4320"/>
                <w:tab w:val="right" w:pos="8640"/>
              </w:tabs>
              <w:spacing w:after="240"/>
              <w:rPr>
                <w:rFonts w:ascii="Calibri" w:hAnsi="Calibri" w:cs="Calibri"/>
              </w:rPr>
            </w:pPr>
          </w:p>
          <w:p w14:paraId="6E6B91D0" w14:textId="77777777" w:rsidR="009E1EB7" w:rsidRDefault="009E1EB7" w:rsidP="004D4FA3">
            <w:pPr>
              <w:tabs>
                <w:tab w:val="center" w:pos="4320"/>
                <w:tab w:val="right" w:pos="8640"/>
              </w:tabs>
              <w:spacing w:after="240"/>
              <w:rPr>
                <w:rFonts w:ascii="Calibri" w:hAnsi="Calibri" w:cs="Calibri"/>
              </w:rPr>
            </w:pPr>
          </w:p>
          <w:p w14:paraId="2FC5B925" w14:textId="77777777" w:rsidR="009E1EB7" w:rsidRDefault="009E1EB7" w:rsidP="004D4FA3">
            <w:pPr>
              <w:tabs>
                <w:tab w:val="center" w:pos="4320"/>
                <w:tab w:val="right" w:pos="8640"/>
              </w:tabs>
              <w:spacing w:after="240"/>
              <w:rPr>
                <w:rFonts w:ascii="Calibri" w:hAnsi="Calibri" w:cs="Calibri"/>
              </w:rPr>
            </w:pPr>
          </w:p>
          <w:p w14:paraId="4F5C9F86" w14:textId="77777777" w:rsidR="009E1EB7" w:rsidRDefault="009E1EB7" w:rsidP="004D4FA3">
            <w:pPr>
              <w:tabs>
                <w:tab w:val="center" w:pos="4320"/>
                <w:tab w:val="right" w:pos="8640"/>
              </w:tabs>
              <w:spacing w:after="240"/>
              <w:rPr>
                <w:rFonts w:ascii="Calibri" w:hAnsi="Calibri" w:cs="Calibri"/>
              </w:rPr>
            </w:pPr>
          </w:p>
          <w:p w14:paraId="2F60C4C7" w14:textId="77777777" w:rsidR="009E1EB7" w:rsidRDefault="009E1EB7" w:rsidP="004D4FA3">
            <w:pPr>
              <w:tabs>
                <w:tab w:val="center" w:pos="4320"/>
                <w:tab w:val="right" w:pos="8640"/>
              </w:tabs>
              <w:spacing w:after="240"/>
              <w:rPr>
                <w:rFonts w:ascii="Calibri" w:hAnsi="Calibri" w:cs="Calibri"/>
              </w:rPr>
            </w:pPr>
          </w:p>
          <w:p w14:paraId="2E69CBC1" w14:textId="77777777" w:rsidR="009E1EB7" w:rsidRDefault="009E1EB7" w:rsidP="004D4FA3">
            <w:pPr>
              <w:tabs>
                <w:tab w:val="center" w:pos="4320"/>
                <w:tab w:val="right" w:pos="8640"/>
              </w:tabs>
              <w:spacing w:after="240"/>
              <w:rPr>
                <w:rFonts w:ascii="Calibri" w:hAnsi="Calibri" w:cs="Calibri"/>
              </w:rPr>
            </w:pPr>
          </w:p>
          <w:p w14:paraId="2BBA6D34" w14:textId="77777777" w:rsidR="009E1EB7" w:rsidRDefault="009E1EB7" w:rsidP="004D4FA3">
            <w:pPr>
              <w:tabs>
                <w:tab w:val="center" w:pos="4320"/>
                <w:tab w:val="right" w:pos="8640"/>
              </w:tabs>
              <w:spacing w:after="240"/>
              <w:rPr>
                <w:rFonts w:ascii="Calibri" w:hAnsi="Calibri" w:cs="Calibri"/>
              </w:rPr>
            </w:pPr>
          </w:p>
          <w:p w14:paraId="29FC1F4F" w14:textId="77777777" w:rsidR="009E1EB7" w:rsidRDefault="009E1EB7" w:rsidP="004D4FA3">
            <w:pPr>
              <w:tabs>
                <w:tab w:val="center" w:pos="4320"/>
                <w:tab w:val="right" w:pos="8640"/>
              </w:tabs>
              <w:spacing w:after="240"/>
              <w:rPr>
                <w:rFonts w:ascii="Calibri" w:hAnsi="Calibri" w:cs="Calibri"/>
              </w:rPr>
            </w:pPr>
          </w:p>
          <w:p w14:paraId="4849F51D" w14:textId="77777777" w:rsidR="009E1EB7" w:rsidRDefault="009E1EB7" w:rsidP="004D4FA3">
            <w:pPr>
              <w:tabs>
                <w:tab w:val="center" w:pos="4320"/>
                <w:tab w:val="right" w:pos="8640"/>
              </w:tabs>
              <w:spacing w:after="240"/>
              <w:rPr>
                <w:rFonts w:ascii="Calibri" w:hAnsi="Calibri" w:cs="Calibri"/>
              </w:rPr>
            </w:pPr>
          </w:p>
          <w:p w14:paraId="584D2416" w14:textId="77777777" w:rsidR="009E1EB7" w:rsidRDefault="009E1EB7" w:rsidP="004D4FA3">
            <w:pPr>
              <w:tabs>
                <w:tab w:val="center" w:pos="4320"/>
                <w:tab w:val="right" w:pos="8640"/>
              </w:tabs>
              <w:spacing w:after="240"/>
              <w:rPr>
                <w:rFonts w:ascii="Calibri" w:hAnsi="Calibri" w:cs="Calibri"/>
              </w:rPr>
            </w:pPr>
          </w:p>
          <w:p w14:paraId="226E55EE" w14:textId="77777777" w:rsidR="009E1EB7" w:rsidRDefault="009E1EB7" w:rsidP="004D4FA3">
            <w:pPr>
              <w:tabs>
                <w:tab w:val="center" w:pos="4320"/>
                <w:tab w:val="right" w:pos="8640"/>
              </w:tabs>
              <w:spacing w:after="240"/>
              <w:rPr>
                <w:rFonts w:ascii="Calibri" w:hAnsi="Calibri" w:cs="Calibri"/>
              </w:rPr>
            </w:pPr>
          </w:p>
          <w:p w14:paraId="7DE3618D" w14:textId="77777777" w:rsidR="009E1EB7" w:rsidRDefault="009E1EB7" w:rsidP="004D4FA3">
            <w:pPr>
              <w:tabs>
                <w:tab w:val="center" w:pos="4320"/>
                <w:tab w:val="right" w:pos="8640"/>
              </w:tabs>
              <w:spacing w:after="240"/>
              <w:rPr>
                <w:rFonts w:ascii="Calibri" w:hAnsi="Calibri" w:cs="Calibri"/>
              </w:rPr>
            </w:pPr>
          </w:p>
          <w:p w14:paraId="1722531D" w14:textId="77777777" w:rsidR="009E1EB7" w:rsidRDefault="009E1EB7" w:rsidP="004D4FA3">
            <w:pPr>
              <w:tabs>
                <w:tab w:val="center" w:pos="4320"/>
                <w:tab w:val="right" w:pos="8640"/>
              </w:tabs>
              <w:spacing w:after="240"/>
              <w:rPr>
                <w:rFonts w:ascii="Calibri" w:hAnsi="Calibri" w:cs="Calibri"/>
              </w:rPr>
            </w:pPr>
          </w:p>
          <w:p w14:paraId="1ADB40CD" w14:textId="77777777" w:rsidR="009E1EB7" w:rsidRDefault="009E1EB7" w:rsidP="004D4FA3">
            <w:pPr>
              <w:tabs>
                <w:tab w:val="center" w:pos="4320"/>
                <w:tab w:val="right" w:pos="8640"/>
              </w:tabs>
              <w:spacing w:after="240"/>
              <w:rPr>
                <w:rFonts w:ascii="Calibri" w:hAnsi="Calibri" w:cs="Calibri"/>
              </w:rPr>
            </w:pPr>
          </w:p>
          <w:p w14:paraId="6851B3F7" w14:textId="77777777" w:rsidR="009E1EB7" w:rsidRDefault="009E1EB7" w:rsidP="004D4FA3">
            <w:pPr>
              <w:tabs>
                <w:tab w:val="center" w:pos="4320"/>
                <w:tab w:val="right" w:pos="8640"/>
              </w:tabs>
              <w:spacing w:after="240"/>
              <w:rPr>
                <w:rFonts w:ascii="Calibri" w:hAnsi="Calibri" w:cs="Calibri"/>
              </w:rPr>
            </w:pPr>
          </w:p>
          <w:p w14:paraId="2171ED1D" w14:textId="77777777" w:rsidR="009E1EB7" w:rsidRDefault="009E1EB7" w:rsidP="004D4FA3">
            <w:pPr>
              <w:tabs>
                <w:tab w:val="center" w:pos="4320"/>
                <w:tab w:val="right" w:pos="8640"/>
              </w:tabs>
              <w:spacing w:after="240"/>
              <w:rPr>
                <w:rFonts w:ascii="Calibri" w:hAnsi="Calibri" w:cs="Calibri"/>
              </w:rPr>
            </w:pPr>
          </w:p>
          <w:p w14:paraId="2AA237F8" w14:textId="77777777" w:rsidR="009E1EB7" w:rsidRDefault="009E1EB7" w:rsidP="004D4FA3">
            <w:pPr>
              <w:tabs>
                <w:tab w:val="center" w:pos="4320"/>
                <w:tab w:val="right" w:pos="8640"/>
              </w:tabs>
              <w:spacing w:after="240"/>
              <w:rPr>
                <w:rFonts w:ascii="Calibri" w:hAnsi="Calibri" w:cs="Calibri"/>
              </w:rPr>
            </w:pPr>
          </w:p>
          <w:p w14:paraId="2C49F50B" w14:textId="0FC47F09" w:rsidR="009E1EB7" w:rsidRDefault="009E1EB7" w:rsidP="004D4FA3">
            <w:pPr>
              <w:tabs>
                <w:tab w:val="center" w:pos="4320"/>
                <w:tab w:val="right" w:pos="8640"/>
              </w:tabs>
              <w:spacing w:after="240"/>
              <w:rPr>
                <w:rFonts w:ascii="Calibri" w:hAnsi="Calibri" w:cs="Calibri"/>
              </w:rPr>
            </w:pPr>
            <w:r w:rsidRPr="009E1EB7">
              <w:rPr>
                <w:rFonts w:ascii="Calibri" w:hAnsi="Calibri" w:cs="Calibri"/>
              </w:rPr>
              <w:t>AA.3.1 continued</w:t>
            </w:r>
          </w:p>
          <w:p w14:paraId="2C4A7992" w14:textId="77777777" w:rsidR="009E1EB7" w:rsidRDefault="009E1EB7" w:rsidP="004D4FA3">
            <w:pPr>
              <w:tabs>
                <w:tab w:val="center" w:pos="4320"/>
                <w:tab w:val="right" w:pos="8640"/>
              </w:tabs>
              <w:spacing w:after="240"/>
              <w:rPr>
                <w:rFonts w:ascii="Calibri" w:hAnsi="Calibri" w:cs="Calibri"/>
              </w:rPr>
            </w:pPr>
          </w:p>
          <w:p w14:paraId="17452BCD" w14:textId="77777777" w:rsidR="009E1EB7" w:rsidRDefault="009E1EB7" w:rsidP="004D4FA3">
            <w:pPr>
              <w:tabs>
                <w:tab w:val="center" w:pos="4320"/>
                <w:tab w:val="right" w:pos="8640"/>
              </w:tabs>
              <w:spacing w:after="240"/>
              <w:rPr>
                <w:rFonts w:ascii="Calibri" w:hAnsi="Calibri" w:cs="Calibri"/>
              </w:rPr>
            </w:pPr>
          </w:p>
          <w:p w14:paraId="53AE192F" w14:textId="77777777" w:rsidR="009E1EB7" w:rsidRDefault="009E1EB7" w:rsidP="004D4FA3">
            <w:pPr>
              <w:tabs>
                <w:tab w:val="center" w:pos="4320"/>
                <w:tab w:val="right" w:pos="8640"/>
              </w:tabs>
              <w:spacing w:after="240"/>
              <w:rPr>
                <w:rFonts w:ascii="Calibri" w:hAnsi="Calibri" w:cs="Calibri"/>
              </w:rPr>
            </w:pPr>
          </w:p>
          <w:p w14:paraId="59090560" w14:textId="77777777" w:rsidR="009E1EB7" w:rsidRDefault="009E1EB7" w:rsidP="004D4FA3">
            <w:pPr>
              <w:tabs>
                <w:tab w:val="center" w:pos="4320"/>
                <w:tab w:val="right" w:pos="8640"/>
              </w:tabs>
              <w:spacing w:after="240"/>
              <w:rPr>
                <w:rFonts w:ascii="Calibri" w:hAnsi="Calibri" w:cs="Calibri"/>
              </w:rPr>
            </w:pPr>
          </w:p>
          <w:p w14:paraId="6704AB5C" w14:textId="157ACFA4" w:rsidR="009E1EB7" w:rsidRPr="00B237B7" w:rsidRDefault="009E1EB7" w:rsidP="004D4FA3">
            <w:pPr>
              <w:tabs>
                <w:tab w:val="center" w:pos="4320"/>
                <w:tab w:val="right" w:pos="8640"/>
              </w:tabs>
              <w:spacing w:after="240"/>
              <w:rPr>
                <w:rFonts w:ascii="Calibri" w:hAnsi="Calibri" w:cs="Calibri"/>
              </w:rPr>
            </w:pPr>
          </w:p>
        </w:tc>
        <w:tc>
          <w:tcPr>
            <w:tcW w:w="7337" w:type="dxa"/>
            <w:shd w:val="clear" w:color="auto" w:fill="auto"/>
          </w:tcPr>
          <w:p w14:paraId="392EE88D" w14:textId="77777777" w:rsidR="00E25CF6" w:rsidRPr="00FF6F6E" w:rsidRDefault="00E25CF6" w:rsidP="00B237B7">
            <w:pPr>
              <w:shd w:val="clear" w:color="auto" w:fill="FFFFFF"/>
              <w:tabs>
                <w:tab w:val="left" w:pos="1476"/>
                <w:tab w:val="center" w:pos="4320"/>
                <w:tab w:val="right" w:pos="8640"/>
              </w:tabs>
              <w:spacing w:after="240"/>
              <w:rPr>
                <w:b/>
                <w:bCs/>
                <w:color w:val="000000"/>
                <w:spacing w:val="-1"/>
                <w:sz w:val="24"/>
                <w:szCs w:val="24"/>
              </w:rPr>
            </w:pPr>
            <w:r w:rsidRPr="00FF6F6E">
              <w:rPr>
                <w:b/>
                <w:bCs/>
                <w:color w:val="000000"/>
                <w:spacing w:val="-1"/>
                <w:sz w:val="24"/>
                <w:szCs w:val="24"/>
              </w:rPr>
              <w:lastRenderedPageBreak/>
              <w:t>Benefit Differences</w:t>
            </w:r>
          </w:p>
          <w:p w14:paraId="579C33ED" w14:textId="77777777" w:rsidR="00E25CF6" w:rsidRPr="00FF6F6E" w:rsidRDefault="00E25CF6" w:rsidP="00B237B7">
            <w:pPr>
              <w:shd w:val="clear" w:color="auto" w:fill="FFFFFF"/>
              <w:tabs>
                <w:tab w:val="left" w:pos="1476"/>
                <w:tab w:val="center" w:pos="4320"/>
                <w:tab w:val="right" w:pos="8640"/>
              </w:tabs>
              <w:spacing w:after="240"/>
              <w:rPr>
                <w:u w:val="single"/>
              </w:rPr>
            </w:pPr>
            <w:r w:rsidRPr="00FF6F6E">
              <w:rPr>
                <w:bCs/>
                <w:color w:val="000000"/>
                <w:spacing w:val="-1"/>
                <w:sz w:val="24"/>
                <w:szCs w:val="24"/>
                <w:u w:val="single"/>
              </w:rPr>
              <w:t>Basic Care</w:t>
            </w:r>
          </w:p>
          <w:p w14:paraId="1E80E89C" w14:textId="1361A764" w:rsidR="00E25CF6" w:rsidRPr="00FF6F6E" w:rsidRDefault="00E25CF6" w:rsidP="00B237B7">
            <w:pPr>
              <w:shd w:val="clear" w:color="auto" w:fill="FFFFFF"/>
              <w:tabs>
                <w:tab w:val="center" w:pos="4320"/>
                <w:tab w:val="right" w:pos="8640"/>
              </w:tabs>
              <w:spacing w:after="240"/>
              <w:rPr>
                <w:color w:val="000000"/>
                <w:sz w:val="24"/>
                <w:szCs w:val="24"/>
              </w:rPr>
            </w:pPr>
            <w:r w:rsidRPr="00FF6F6E">
              <w:rPr>
                <w:color w:val="000000"/>
                <w:sz w:val="24"/>
                <w:szCs w:val="24"/>
              </w:rPr>
              <w:t xml:space="preserve">The State has made an adjustment to the capitation rates to account for several benefit and reimbursement changes </w:t>
            </w:r>
            <w:r w:rsidR="004D0EFD">
              <w:rPr>
                <w:color w:val="000000"/>
                <w:sz w:val="24"/>
                <w:szCs w:val="24"/>
              </w:rPr>
              <w:t xml:space="preserve">implemented </w:t>
            </w:r>
            <w:r w:rsidR="00502882">
              <w:rPr>
                <w:color w:val="000000"/>
                <w:sz w:val="24"/>
                <w:szCs w:val="24"/>
              </w:rPr>
              <w:t xml:space="preserve">the most recent </w:t>
            </w:r>
            <w:r w:rsidR="00502882">
              <w:rPr>
                <w:color w:val="000000"/>
                <w:sz w:val="24"/>
                <w:szCs w:val="24"/>
              </w:rPr>
              <w:lastRenderedPageBreak/>
              <w:t xml:space="preserve">years </w:t>
            </w:r>
            <w:r w:rsidR="004D0EFD">
              <w:rPr>
                <w:color w:val="000000"/>
                <w:sz w:val="24"/>
                <w:szCs w:val="24"/>
              </w:rPr>
              <w:t xml:space="preserve">and </w:t>
            </w:r>
            <w:r w:rsidR="00502882">
              <w:rPr>
                <w:color w:val="000000"/>
                <w:sz w:val="24"/>
                <w:szCs w:val="24"/>
              </w:rPr>
              <w:t xml:space="preserve">those </w:t>
            </w:r>
            <w:r w:rsidRPr="00FF6F6E">
              <w:rPr>
                <w:color w:val="000000"/>
                <w:sz w:val="24"/>
                <w:szCs w:val="24"/>
              </w:rPr>
              <w:t>scheduled to be implemented in CY 201</w:t>
            </w:r>
            <w:r w:rsidR="00922DA0">
              <w:rPr>
                <w:color w:val="000000"/>
                <w:sz w:val="24"/>
                <w:szCs w:val="24"/>
              </w:rPr>
              <w:t>5</w:t>
            </w:r>
            <w:r w:rsidRPr="00FF6F6E">
              <w:rPr>
                <w:color w:val="000000"/>
                <w:sz w:val="24"/>
                <w:szCs w:val="24"/>
              </w:rPr>
              <w:t xml:space="preserve">.  </w:t>
            </w:r>
            <w:r w:rsidR="002D3BF0" w:rsidRPr="002D3BF0">
              <w:rPr>
                <w:color w:val="000000"/>
                <w:sz w:val="24"/>
                <w:szCs w:val="24"/>
              </w:rPr>
              <w:t>Attachment A</w:t>
            </w:r>
            <w:r w:rsidRPr="003E0D42">
              <w:rPr>
                <w:sz w:val="24"/>
                <w:szCs w:val="24"/>
              </w:rPr>
              <w:t xml:space="preserve">, Section </w:t>
            </w:r>
            <w:r w:rsidR="00502882">
              <w:rPr>
                <w:sz w:val="24"/>
                <w:szCs w:val="24"/>
              </w:rPr>
              <w:t>II</w:t>
            </w:r>
            <w:r w:rsidRPr="003E0D42">
              <w:rPr>
                <w:sz w:val="24"/>
                <w:szCs w:val="24"/>
              </w:rPr>
              <w:t xml:space="preserve"> </w:t>
            </w:r>
            <w:r w:rsidRPr="00FF6F6E">
              <w:rPr>
                <w:color w:val="000000"/>
                <w:sz w:val="24"/>
                <w:szCs w:val="24"/>
              </w:rPr>
              <w:t>lists the basic care benefit and fee schedule changes that have been incorporated into the senior Medi</w:t>
            </w:r>
            <w:r w:rsidRPr="00BB6A4D">
              <w:rPr>
                <w:color w:val="000000"/>
                <w:sz w:val="24"/>
                <w:szCs w:val="24"/>
              </w:rPr>
              <w:t>caid rates for</w:t>
            </w:r>
            <w:r w:rsidR="00502882" w:rsidRPr="00BB6A4D">
              <w:t xml:space="preserve"> </w:t>
            </w:r>
            <w:r w:rsidR="00502882" w:rsidRPr="00BB6A4D">
              <w:rPr>
                <w:color w:val="000000"/>
                <w:sz w:val="24"/>
                <w:szCs w:val="24"/>
              </w:rPr>
              <w:t xml:space="preserve">the upcoming </w:t>
            </w:r>
            <w:r w:rsidR="00502882" w:rsidRPr="00922DA0">
              <w:rPr>
                <w:color w:val="000000"/>
                <w:sz w:val="24"/>
                <w:szCs w:val="24"/>
              </w:rPr>
              <w:t>year</w:t>
            </w:r>
            <w:r w:rsidRPr="00922DA0">
              <w:rPr>
                <w:color w:val="000000"/>
                <w:sz w:val="24"/>
                <w:szCs w:val="24"/>
              </w:rPr>
              <w:t>.  The benefit changes</w:t>
            </w:r>
            <w:r w:rsidR="006C424C" w:rsidRPr="00922DA0">
              <w:rPr>
                <w:color w:val="000000"/>
                <w:sz w:val="24"/>
                <w:szCs w:val="24"/>
              </w:rPr>
              <w:t xml:space="preserve">, also detailed on pages </w:t>
            </w:r>
            <w:r w:rsidR="00922DA0" w:rsidRPr="00922DA0">
              <w:rPr>
                <w:color w:val="000000"/>
                <w:sz w:val="24"/>
                <w:szCs w:val="24"/>
              </w:rPr>
              <w:t>9-13</w:t>
            </w:r>
            <w:r w:rsidR="006C424C" w:rsidRPr="00922DA0">
              <w:rPr>
                <w:color w:val="000000"/>
                <w:sz w:val="24"/>
                <w:szCs w:val="24"/>
              </w:rPr>
              <w:t xml:space="preserve"> of </w:t>
            </w:r>
            <w:r w:rsidR="002D3BF0" w:rsidRPr="002D3BF0">
              <w:rPr>
                <w:color w:val="000000"/>
                <w:sz w:val="24"/>
                <w:szCs w:val="24"/>
              </w:rPr>
              <w:t>Attachment A</w:t>
            </w:r>
            <w:r w:rsidR="006C424C" w:rsidRPr="00922DA0">
              <w:rPr>
                <w:color w:val="000000"/>
                <w:sz w:val="24"/>
                <w:szCs w:val="24"/>
              </w:rPr>
              <w:t xml:space="preserve">, section II, </w:t>
            </w:r>
            <w:r w:rsidRPr="00922DA0">
              <w:rPr>
                <w:color w:val="000000"/>
                <w:sz w:val="24"/>
                <w:szCs w:val="24"/>
              </w:rPr>
              <w:t>include</w:t>
            </w:r>
            <w:r w:rsidR="006C424C" w:rsidRPr="00922DA0">
              <w:rPr>
                <w:color w:val="000000"/>
                <w:sz w:val="24"/>
                <w:szCs w:val="24"/>
              </w:rPr>
              <w:t xml:space="preserve"> adjustments for legislation</w:t>
            </w:r>
            <w:r w:rsidR="00630F77">
              <w:rPr>
                <w:color w:val="000000"/>
                <w:sz w:val="24"/>
                <w:szCs w:val="24"/>
              </w:rPr>
              <w:t xml:space="preserve"> through the 2014 session</w:t>
            </w:r>
            <w:r w:rsidR="006C424C" w:rsidRPr="00922DA0">
              <w:rPr>
                <w:color w:val="000000"/>
                <w:sz w:val="24"/>
                <w:szCs w:val="24"/>
              </w:rPr>
              <w:t>.</w:t>
            </w:r>
          </w:p>
          <w:p w14:paraId="52687686" w14:textId="58C60EEF" w:rsidR="00E25CF6" w:rsidRDefault="00E25CF6" w:rsidP="00BB6A4D">
            <w:pPr>
              <w:pStyle w:val="ListParagraph"/>
              <w:numPr>
                <w:ilvl w:val="0"/>
                <w:numId w:val="17"/>
              </w:numPr>
              <w:shd w:val="clear" w:color="auto" w:fill="FFFFFF"/>
              <w:tabs>
                <w:tab w:val="center" w:pos="4320"/>
                <w:tab w:val="right" w:pos="8640"/>
              </w:tabs>
              <w:spacing w:after="240"/>
              <w:rPr>
                <w:color w:val="000000"/>
                <w:sz w:val="24"/>
                <w:szCs w:val="24"/>
              </w:rPr>
            </w:pPr>
            <w:r>
              <w:rPr>
                <w:color w:val="000000"/>
                <w:sz w:val="24"/>
                <w:szCs w:val="24"/>
              </w:rPr>
              <w:t>Legislation reduced the 2009 rates for certain services by 1</w:t>
            </w:r>
            <w:r w:rsidR="00547452">
              <w:rPr>
                <w:color w:val="000000"/>
                <w:sz w:val="24"/>
                <w:szCs w:val="24"/>
              </w:rPr>
              <w:t>%,</w:t>
            </w:r>
            <w:r w:rsidR="00922DA0">
              <w:rPr>
                <w:color w:val="000000"/>
                <w:sz w:val="24"/>
                <w:szCs w:val="24"/>
              </w:rPr>
              <w:t xml:space="preserve"> which continued to affect the 2013 experience used to develop the 2015 rates</w:t>
            </w:r>
            <w:r>
              <w:rPr>
                <w:color w:val="000000"/>
                <w:sz w:val="24"/>
                <w:szCs w:val="24"/>
              </w:rPr>
              <w:t xml:space="preserve">.  </w:t>
            </w:r>
            <w:r w:rsidR="00BB6A4D" w:rsidRPr="00BB6A4D">
              <w:rPr>
                <w:color w:val="000000"/>
                <w:sz w:val="24"/>
                <w:szCs w:val="24"/>
              </w:rPr>
              <w:t xml:space="preserve">The aggregate factors applied </w:t>
            </w:r>
            <w:r w:rsidR="006C424C">
              <w:rPr>
                <w:color w:val="000000"/>
                <w:sz w:val="24"/>
                <w:szCs w:val="24"/>
              </w:rPr>
              <w:t xml:space="preserve">for the upcoming year </w:t>
            </w:r>
            <w:r w:rsidR="00BB6A4D" w:rsidRPr="00BB6A4D">
              <w:rPr>
                <w:color w:val="000000"/>
                <w:sz w:val="24"/>
                <w:szCs w:val="24"/>
              </w:rPr>
              <w:t>to the community rates and the i</w:t>
            </w:r>
            <w:r w:rsidR="00BB6A4D" w:rsidRPr="00053C15">
              <w:rPr>
                <w:color w:val="000000"/>
                <w:sz w:val="24"/>
                <w:szCs w:val="24"/>
              </w:rPr>
              <w:t>nstitutional rate</w:t>
            </w:r>
            <w:r w:rsidR="00922DA0">
              <w:rPr>
                <w:color w:val="000000"/>
                <w:sz w:val="24"/>
                <w:szCs w:val="24"/>
              </w:rPr>
              <w:t>s for this adjustment are 1.0013 and 1.000</w:t>
            </w:r>
            <w:r w:rsidR="00630F77">
              <w:rPr>
                <w:color w:val="000000"/>
                <w:sz w:val="24"/>
                <w:szCs w:val="24"/>
              </w:rPr>
              <w:t xml:space="preserve"> respectively</w:t>
            </w:r>
            <w:r w:rsidR="00BB6A4D" w:rsidRPr="00053C15">
              <w:rPr>
                <w:color w:val="000000"/>
                <w:sz w:val="24"/>
                <w:szCs w:val="24"/>
              </w:rPr>
              <w:t xml:space="preserve">, </w:t>
            </w:r>
            <w:r w:rsidR="00922DA0">
              <w:rPr>
                <w:color w:val="000000"/>
                <w:sz w:val="24"/>
                <w:szCs w:val="24"/>
              </w:rPr>
              <w:t>considering costs in personal care servi</w:t>
            </w:r>
            <w:r w:rsidR="00630F77">
              <w:rPr>
                <w:color w:val="000000"/>
                <w:sz w:val="24"/>
                <w:szCs w:val="24"/>
              </w:rPr>
              <w:t>c</w:t>
            </w:r>
            <w:r w:rsidR="00922DA0">
              <w:rPr>
                <w:color w:val="000000"/>
                <w:sz w:val="24"/>
                <w:szCs w:val="24"/>
              </w:rPr>
              <w:t xml:space="preserve">es, home health, and home care nursing (formerly private duty nursing) </w:t>
            </w:r>
            <w:r w:rsidR="00630F77">
              <w:rPr>
                <w:color w:val="000000"/>
                <w:sz w:val="24"/>
                <w:szCs w:val="24"/>
              </w:rPr>
              <w:t>services</w:t>
            </w:r>
            <w:r w:rsidR="00921FD5" w:rsidRPr="00053C15">
              <w:rPr>
                <w:color w:val="000000"/>
                <w:sz w:val="24"/>
                <w:szCs w:val="24"/>
              </w:rPr>
              <w:t>.</w:t>
            </w:r>
          </w:p>
          <w:p w14:paraId="1503F5D0" w14:textId="77777777" w:rsidR="00630F77" w:rsidRDefault="00630F77" w:rsidP="00630F77">
            <w:pPr>
              <w:pStyle w:val="ListParagraph"/>
              <w:shd w:val="clear" w:color="auto" w:fill="FFFFFF"/>
              <w:tabs>
                <w:tab w:val="center" w:pos="4320"/>
                <w:tab w:val="right" w:pos="8640"/>
              </w:tabs>
              <w:spacing w:after="240"/>
              <w:rPr>
                <w:color w:val="000000"/>
                <w:sz w:val="24"/>
                <w:szCs w:val="24"/>
              </w:rPr>
            </w:pPr>
          </w:p>
          <w:p w14:paraId="2B52729F" w14:textId="2CC39DA0" w:rsidR="00630F77" w:rsidRPr="00630F77" w:rsidRDefault="00630F77" w:rsidP="00630F77">
            <w:pPr>
              <w:pStyle w:val="ListParagraph"/>
              <w:numPr>
                <w:ilvl w:val="0"/>
                <w:numId w:val="17"/>
              </w:numPr>
              <w:shd w:val="clear" w:color="auto" w:fill="FFFFFF"/>
              <w:tabs>
                <w:tab w:val="center" w:pos="4320"/>
                <w:tab w:val="right" w:pos="8640"/>
              </w:tabs>
              <w:spacing w:after="240"/>
              <w:rPr>
                <w:color w:val="000000"/>
                <w:sz w:val="24"/>
                <w:szCs w:val="24"/>
              </w:rPr>
            </w:pPr>
            <w:r w:rsidRPr="00CD0EA9">
              <w:rPr>
                <w:color w:val="000000"/>
                <w:sz w:val="24"/>
                <w:szCs w:val="24"/>
              </w:rPr>
              <w:t xml:space="preserve">Effective September 1, 2011, provider fee </w:t>
            </w:r>
            <w:r w:rsidR="000F1A85">
              <w:rPr>
                <w:color w:val="000000"/>
                <w:sz w:val="24"/>
                <w:szCs w:val="24"/>
              </w:rPr>
              <w:t xml:space="preserve">schedule </w:t>
            </w:r>
            <w:r w:rsidRPr="00CD0EA9">
              <w:rPr>
                <w:color w:val="000000"/>
                <w:sz w:val="24"/>
                <w:szCs w:val="24"/>
              </w:rPr>
              <w:t>reductions for various providers were implemented, that sunset on July 1, 2013</w:t>
            </w:r>
            <w:r>
              <w:rPr>
                <w:color w:val="000000"/>
                <w:sz w:val="24"/>
                <w:szCs w:val="24"/>
              </w:rPr>
              <w:t xml:space="preserve">, affecting the experience used to develop 2015 rates. </w:t>
            </w:r>
            <w:r w:rsidRPr="00BB6A4D">
              <w:rPr>
                <w:color w:val="000000"/>
                <w:sz w:val="24"/>
                <w:szCs w:val="24"/>
              </w:rPr>
              <w:t>The aggregate factors applied to the community rates and the institutional rates for this adjustment are 1.0</w:t>
            </w:r>
            <w:r>
              <w:rPr>
                <w:color w:val="000000"/>
                <w:sz w:val="24"/>
                <w:szCs w:val="24"/>
              </w:rPr>
              <w:t>147</w:t>
            </w:r>
            <w:r w:rsidRPr="00BB6A4D">
              <w:rPr>
                <w:color w:val="000000"/>
                <w:sz w:val="24"/>
                <w:szCs w:val="24"/>
              </w:rPr>
              <w:t xml:space="preserve"> and 1.0</w:t>
            </w:r>
            <w:r>
              <w:rPr>
                <w:color w:val="000000"/>
                <w:sz w:val="24"/>
                <w:szCs w:val="24"/>
              </w:rPr>
              <w:t>144</w:t>
            </w:r>
            <w:r w:rsidRPr="00BB6A4D">
              <w:rPr>
                <w:color w:val="000000"/>
                <w:sz w:val="24"/>
                <w:szCs w:val="24"/>
              </w:rPr>
              <w:t>, respectively</w:t>
            </w:r>
            <w:r w:rsidRPr="00CD0EA9">
              <w:rPr>
                <w:color w:val="000000"/>
                <w:sz w:val="24"/>
                <w:szCs w:val="24"/>
              </w:rPr>
              <w:t>.</w:t>
            </w:r>
            <w:r>
              <w:t xml:space="preserve"> </w:t>
            </w:r>
          </w:p>
          <w:p w14:paraId="63EA7E23" w14:textId="77777777" w:rsidR="00630F77" w:rsidRPr="00630F77" w:rsidRDefault="00630F77" w:rsidP="00630F77">
            <w:pPr>
              <w:pStyle w:val="ListParagraph"/>
              <w:rPr>
                <w:color w:val="000000"/>
                <w:sz w:val="24"/>
                <w:szCs w:val="24"/>
              </w:rPr>
            </w:pPr>
          </w:p>
          <w:p w14:paraId="7A7CDB7F" w14:textId="7A0FF461" w:rsidR="00D35A2E" w:rsidRDefault="00D35A2E" w:rsidP="00D35A2E">
            <w:pPr>
              <w:pStyle w:val="ListParagraph"/>
              <w:numPr>
                <w:ilvl w:val="0"/>
                <w:numId w:val="17"/>
              </w:numPr>
              <w:tabs>
                <w:tab w:val="left" w:pos="687"/>
              </w:tabs>
              <w:rPr>
                <w:color w:val="000000"/>
                <w:sz w:val="24"/>
                <w:szCs w:val="24"/>
              </w:rPr>
            </w:pPr>
            <w:r>
              <w:rPr>
                <w:color w:val="000000"/>
                <w:sz w:val="24"/>
                <w:szCs w:val="24"/>
              </w:rPr>
              <w:t xml:space="preserve">Additional preventive dental services were added to the benefit set effective July 2013: </w:t>
            </w:r>
            <w:r w:rsidRPr="00944D85">
              <w:rPr>
                <w:color w:val="000000"/>
                <w:sz w:val="24"/>
                <w:szCs w:val="24"/>
              </w:rPr>
              <w:t>up to four dental prophylaxis visits per year</w:t>
            </w:r>
            <w:r>
              <w:rPr>
                <w:color w:val="000000"/>
                <w:sz w:val="24"/>
                <w:szCs w:val="24"/>
              </w:rPr>
              <w:t>, oral or IV sedation, b</w:t>
            </w:r>
            <w:r w:rsidRPr="00944D85">
              <w:rPr>
                <w:color w:val="000000"/>
                <w:sz w:val="24"/>
                <w:szCs w:val="24"/>
              </w:rPr>
              <w:t>ehavior management</w:t>
            </w:r>
            <w:r>
              <w:rPr>
                <w:color w:val="000000"/>
                <w:sz w:val="24"/>
                <w:szCs w:val="24"/>
              </w:rPr>
              <w:t xml:space="preserve">, and house or facility calls.  </w:t>
            </w:r>
            <w:r w:rsidRPr="00944D85">
              <w:rPr>
                <w:color w:val="000000"/>
                <w:sz w:val="24"/>
                <w:szCs w:val="24"/>
              </w:rPr>
              <w:t xml:space="preserve">The aggregate factors applied to the community rates and </w:t>
            </w:r>
            <w:r>
              <w:rPr>
                <w:color w:val="000000"/>
                <w:sz w:val="24"/>
                <w:szCs w:val="24"/>
              </w:rPr>
              <w:t>the institutional rates for the</w:t>
            </w:r>
            <w:r w:rsidRPr="00944D85">
              <w:rPr>
                <w:color w:val="000000"/>
                <w:sz w:val="24"/>
                <w:szCs w:val="24"/>
              </w:rPr>
              <w:t xml:space="preserve"> </w:t>
            </w:r>
            <w:r>
              <w:rPr>
                <w:color w:val="000000"/>
                <w:sz w:val="24"/>
                <w:szCs w:val="24"/>
              </w:rPr>
              <w:t>dental benefits are 1.0013 and 1.0035</w:t>
            </w:r>
            <w:r w:rsidRPr="00944D85">
              <w:rPr>
                <w:color w:val="000000"/>
                <w:sz w:val="24"/>
                <w:szCs w:val="24"/>
              </w:rPr>
              <w:t>, respectively</w:t>
            </w:r>
            <w:r>
              <w:rPr>
                <w:color w:val="000000"/>
                <w:sz w:val="24"/>
                <w:szCs w:val="24"/>
              </w:rPr>
              <w:t>.</w:t>
            </w:r>
          </w:p>
          <w:p w14:paraId="0990BA4E" w14:textId="77777777" w:rsidR="00D35A2E" w:rsidRPr="00D35A2E" w:rsidRDefault="00D35A2E" w:rsidP="00D35A2E">
            <w:pPr>
              <w:tabs>
                <w:tab w:val="left" w:pos="687"/>
              </w:tabs>
              <w:rPr>
                <w:color w:val="000000"/>
                <w:sz w:val="24"/>
                <w:szCs w:val="24"/>
              </w:rPr>
            </w:pPr>
          </w:p>
          <w:p w14:paraId="3046073F" w14:textId="6782BDF1" w:rsidR="00D35A2E" w:rsidRDefault="00D35A2E" w:rsidP="00D35A2E">
            <w:pPr>
              <w:pStyle w:val="ListParagraph"/>
              <w:numPr>
                <w:ilvl w:val="0"/>
                <w:numId w:val="17"/>
              </w:numPr>
              <w:tabs>
                <w:tab w:val="left" w:pos="687"/>
              </w:tabs>
              <w:rPr>
                <w:color w:val="000000"/>
                <w:sz w:val="24"/>
                <w:szCs w:val="24"/>
              </w:rPr>
            </w:pPr>
            <w:r w:rsidRPr="006B3C99">
              <w:rPr>
                <w:color w:val="000000"/>
                <w:sz w:val="24"/>
                <w:szCs w:val="24"/>
              </w:rPr>
              <w:t xml:space="preserve">Based on </w:t>
            </w:r>
            <w:r w:rsidR="0011083B">
              <w:rPr>
                <w:color w:val="000000"/>
                <w:sz w:val="24"/>
                <w:szCs w:val="24"/>
              </w:rPr>
              <w:t>Minnesota Statutes, §</w:t>
            </w:r>
            <w:r w:rsidR="0011083B" w:rsidRPr="006B3C99">
              <w:rPr>
                <w:color w:val="000000"/>
                <w:sz w:val="24"/>
                <w:szCs w:val="24"/>
              </w:rPr>
              <w:t xml:space="preserve"> </w:t>
            </w:r>
            <w:r w:rsidRPr="006B3C99">
              <w:rPr>
                <w:color w:val="000000"/>
                <w:sz w:val="24"/>
                <w:szCs w:val="24"/>
              </w:rPr>
              <w:t xml:space="preserve">256B.76, subdivision 2, payment rates for dental services </w:t>
            </w:r>
            <w:r>
              <w:rPr>
                <w:color w:val="000000"/>
                <w:sz w:val="24"/>
                <w:szCs w:val="24"/>
              </w:rPr>
              <w:t xml:space="preserve">were </w:t>
            </w:r>
            <w:r w:rsidRPr="006B3C99">
              <w:rPr>
                <w:color w:val="000000"/>
                <w:sz w:val="24"/>
                <w:szCs w:val="24"/>
              </w:rPr>
              <w:t xml:space="preserve">increased 5% effective January 1, 2014. The aggregate factors applied to the community rates and the institutional rates for this adjustment are </w:t>
            </w:r>
            <w:r w:rsidRPr="00053C15">
              <w:rPr>
                <w:color w:val="000000"/>
                <w:sz w:val="24"/>
                <w:szCs w:val="24"/>
              </w:rPr>
              <w:t>1.000</w:t>
            </w:r>
            <w:r>
              <w:rPr>
                <w:color w:val="000000"/>
                <w:sz w:val="24"/>
                <w:szCs w:val="24"/>
              </w:rPr>
              <w:t>8 and 1.0025</w:t>
            </w:r>
            <w:r w:rsidRPr="00053C15">
              <w:rPr>
                <w:color w:val="000000"/>
                <w:sz w:val="24"/>
                <w:szCs w:val="24"/>
              </w:rPr>
              <w:t>,</w:t>
            </w:r>
            <w:r w:rsidRPr="006B3C99">
              <w:rPr>
                <w:color w:val="000000"/>
                <w:sz w:val="24"/>
                <w:szCs w:val="24"/>
              </w:rPr>
              <w:t xml:space="preserve"> respectively.</w:t>
            </w:r>
          </w:p>
          <w:p w14:paraId="6D69A17F" w14:textId="77777777" w:rsidR="00D35A2E" w:rsidRPr="00D35A2E" w:rsidRDefault="00D35A2E" w:rsidP="00D35A2E">
            <w:pPr>
              <w:tabs>
                <w:tab w:val="left" w:pos="687"/>
              </w:tabs>
              <w:rPr>
                <w:color w:val="000000"/>
                <w:sz w:val="24"/>
                <w:szCs w:val="24"/>
              </w:rPr>
            </w:pPr>
          </w:p>
          <w:p w14:paraId="2C5C565B" w14:textId="520BA168" w:rsidR="00D35A2E" w:rsidRDefault="000F1A85" w:rsidP="00D35A2E">
            <w:pPr>
              <w:pStyle w:val="ListParagraph"/>
              <w:numPr>
                <w:ilvl w:val="0"/>
                <w:numId w:val="17"/>
              </w:numPr>
              <w:tabs>
                <w:tab w:val="left" w:pos="687"/>
              </w:tabs>
              <w:rPr>
                <w:color w:val="000000"/>
                <w:sz w:val="24"/>
                <w:szCs w:val="24"/>
              </w:rPr>
            </w:pPr>
            <w:r>
              <w:rPr>
                <w:color w:val="000000"/>
                <w:sz w:val="24"/>
                <w:szCs w:val="24"/>
              </w:rPr>
              <w:t>Minnesota Session Law Ch. 108, Article 7, Section</w:t>
            </w:r>
            <w:r w:rsidR="00610946">
              <w:rPr>
                <w:color w:val="000000"/>
                <w:sz w:val="24"/>
                <w:szCs w:val="24"/>
              </w:rPr>
              <w:t xml:space="preserve"> </w:t>
            </w:r>
            <w:r>
              <w:rPr>
                <w:vanish/>
                <w:color w:val="000000"/>
                <w:sz w:val="24"/>
                <w:szCs w:val="24"/>
              </w:rPr>
              <w:t>dion 47 and 60  Ch. 108, Articel explantion ied here.  he MCO is paying for a service not otherwise covered in the contrac</w:t>
            </w:r>
            <w:r>
              <w:rPr>
                <w:color w:val="000000"/>
                <w:sz w:val="24"/>
                <w:szCs w:val="24"/>
              </w:rPr>
              <w:t xml:space="preserve">60 </w:t>
            </w:r>
            <w:r w:rsidR="00D35A2E">
              <w:rPr>
                <w:color w:val="000000"/>
                <w:sz w:val="24"/>
                <w:szCs w:val="24"/>
              </w:rPr>
              <w:t xml:space="preserve">required </w:t>
            </w:r>
            <w:r w:rsidR="00D35A2E" w:rsidRPr="006B3C99">
              <w:rPr>
                <w:color w:val="000000"/>
                <w:sz w:val="24"/>
                <w:szCs w:val="24"/>
              </w:rPr>
              <w:t xml:space="preserve">reimbursement rates, grants, allocation, individual limits, and rate limits </w:t>
            </w:r>
            <w:r w:rsidR="00D35A2E">
              <w:rPr>
                <w:color w:val="000000"/>
                <w:sz w:val="24"/>
                <w:szCs w:val="24"/>
              </w:rPr>
              <w:t xml:space="preserve">to be </w:t>
            </w:r>
            <w:r w:rsidR="00D35A2E" w:rsidRPr="006B3C99">
              <w:rPr>
                <w:color w:val="000000"/>
                <w:sz w:val="24"/>
                <w:szCs w:val="24"/>
              </w:rPr>
              <w:t>increased by 1% for the rate period beginning April 1, 2014.  Adjustment fact</w:t>
            </w:r>
            <w:r w:rsidR="00D35A2E">
              <w:rPr>
                <w:color w:val="000000"/>
                <w:sz w:val="24"/>
                <w:szCs w:val="24"/>
              </w:rPr>
              <w:t>ors were calculated for the 2015</w:t>
            </w:r>
            <w:r w:rsidR="00D35A2E" w:rsidRPr="006B3C99">
              <w:rPr>
                <w:color w:val="000000"/>
                <w:sz w:val="24"/>
                <w:szCs w:val="24"/>
              </w:rPr>
              <w:t xml:space="preserve"> rate development based on service category mix of the 201</w:t>
            </w:r>
            <w:r w:rsidR="00D35A2E">
              <w:rPr>
                <w:color w:val="000000"/>
                <w:sz w:val="24"/>
                <w:szCs w:val="24"/>
              </w:rPr>
              <w:t>3</w:t>
            </w:r>
            <w:r w:rsidR="00D35A2E" w:rsidRPr="006B3C99">
              <w:rPr>
                <w:color w:val="000000"/>
                <w:sz w:val="24"/>
                <w:szCs w:val="24"/>
              </w:rPr>
              <w:t xml:space="preserve"> experience for each population.  The aggregate factors applied to the community rates and the institutional rates for this adjustment </w:t>
            </w:r>
            <w:r w:rsidR="00D35A2E" w:rsidRPr="00FB3B58">
              <w:rPr>
                <w:color w:val="000000"/>
                <w:sz w:val="24"/>
                <w:szCs w:val="24"/>
              </w:rPr>
              <w:t>are 1.00</w:t>
            </w:r>
            <w:r w:rsidR="00D35A2E">
              <w:rPr>
                <w:color w:val="000000"/>
                <w:sz w:val="24"/>
                <w:szCs w:val="24"/>
              </w:rPr>
              <w:t>5</w:t>
            </w:r>
            <w:r w:rsidR="00D35A2E" w:rsidRPr="00FB3B58">
              <w:rPr>
                <w:color w:val="000000"/>
                <w:sz w:val="24"/>
                <w:szCs w:val="24"/>
              </w:rPr>
              <w:t>4</w:t>
            </w:r>
            <w:r w:rsidR="00D35A2E">
              <w:rPr>
                <w:color w:val="000000"/>
                <w:sz w:val="24"/>
                <w:szCs w:val="24"/>
              </w:rPr>
              <w:t xml:space="preserve"> and 1.0002</w:t>
            </w:r>
            <w:r w:rsidR="00D35A2E" w:rsidRPr="00FB3B58">
              <w:rPr>
                <w:color w:val="000000"/>
                <w:sz w:val="24"/>
                <w:szCs w:val="24"/>
              </w:rPr>
              <w:t>, resp</w:t>
            </w:r>
            <w:r w:rsidR="00D35A2E" w:rsidRPr="006B3C99">
              <w:rPr>
                <w:color w:val="000000"/>
                <w:sz w:val="24"/>
                <w:szCs w:val="24"/>
              </w:rPr>
              <w:t>ectively.</w:t>
            </w:r>
            <w:r w:rsidR="00D35A2E">
              <w:rPr>
                <w:color w:val="000000"/>
                <w:sz w:val="24"/>
                <w:szCs w:val="24"/>
              </w:rPr>
              <w:t xml:space="preserve"> </w:t>
            </w:r>
          </w:p>
          <w:p w14:paraId="49D48E22" w14:textId="77777777" w:rsidR="00D35A2E" w:rsidRPr="00D35A2E" w:rsidRDefault="00D35A2E" w:rsidP="00D35A2E">
            <w:pPr>
              <w:pStyle w:val="ListParagraph"/>
              <w:rPr>
                <w:color w:val="000000"/>
                <w:sz w:val="24"/>
                <w:szCs w:val="24"/>
              </w:rPr>
            </w:pPr>
          </w:p>
          <w:p w14:paraId="442B0875" w14:textId="77777777" w:rsidR="00D35A2E" w:rsidRDefault="00D35A2E" w:rsidP="00D35A2E">
            <w:pPr>
              <w:pStyle w:val="ListParagraph"/>
              <w:numPr>
                <w:ilvl w:val="0"/>
                <w:numId w:val="17"/>
              </w:numPr>
              <w:tabs>
                <w:tab w:val="left" w:pos="687"/>
              </w:tabs>
              <w:rPr>
                <w:color w:val="000000"/>
                <w:sz w:val="24"/>
                <w:szCs w:val="24"/>
              </w:rPr>
            </w:pPr>
            <w:r>
              <w:rPr>
                <w:color w:val="000000"/>
                <w:sz w:val="24"/>
                <w:szCs w:val="24"/>
              </w:rPr>
              <w:t xml:space="preserve">2014 legislation required a 5% rate increase for continuing care providers, effective July 1, 2014.  Factors of 1.0272 for community and 1.0010 for institutional populations were applied, based on the cost of the affected services.  </w:t>
            </w:r>
          </w:p>
          <w:p w14:paraId="379AE396" w14:textId="77777777" w:rsidR="00D35A2E" w:rsidRPr="00D35A2E" w:rsidRDefault="00D35A2E" w:rsidP="00D35A2E">
            <w:pPr>
              <w:pStyle w:val="ListParagraph"/>
              <w:rPr>
                <w:color w:val="000000"/>
                <w:sz w:val="24"/>
                <w:szCs w:val="24"/>
              </w:rPr>
            </w:pPr>
          </w:p>
          <w:p w14:paraId="1AF7AD0E" w14:textId="524EED13" w:rsidR="006D6B46" w:rsidRDefault="006D6B46" w:rsidP="006D6B46">
            <w:pPr>
              <w:pStyle w:val="ListParagraph"/>
              <w:numPr>
                <w:ilvl w:val="0"/>
                <w:numId w:val="17"/>
              </w:numPr>
              <w:tabs>
                <w:tab w:val="left" w:pos="687"/>
              </w:tabs>
              <w:rPr>
                <w:color w:val="000000"/>
                <w:sz w:val="24"/>
                <w:szCs w:val="24"/>
              </w:rPr>
            </w:pPr>
            <w:r w:rsidRPr="006B3C99">
              <w:rPr>
                <w:color w:val="000000"/>
                <w:sz w:val="24"/>
                <w:szCs w:val="24"/>
              </w:rPr>
              <w:t xml:space="preserve">Based on </w:t>
            </w:r>
            <w:r>
              <w:rPr>
                <w:color w:val="000000"/>
                <w:sz w:val="24"/>
                <w:szCs w:val="24"/>
              </w:rPr>
              <w:t>Minnesota S</w:t>
            </w:r>
            <w:r w:rsidRPr="006B3C99">
              <w:rPr>
                <w:color w:val="000000"/>
                <w:sz w:val="24"/>
                <w:szCs w:val="24"/>
              </w:rPr>
              <w:t>tatutes 2012, section 256B.0911, effective January 1, 201</w:t>
            </w:r>
            <w:r>
              <w:rPr>
                <w:color w:val="000000"/>
                <w:sz w:val="24"/>
                <w:szCs w:val="24"/>
              </w:rPr>
              <w:t>5 (following a statutory one-year delay)</w:t>
            </w:r>
            <w:r w:rsidRPr="006B3C99">
              <w:rPr>
                <w:color w:val="000000"/>
                <w:sz w:val="24"/>
                <w:szCs w:val="24"/>
              </w:rPr>
              <w:t>, the determination of the need for NF level of care will change such that a percentage of the community EW individuals will lose their EW eligibility.</w:t>
            </w:r>
            <w:r>
              <w:rPr>
                <w:color w:val="000000"/>
                <w:sz w:val="24"/>
                <w:szCs w:val="24"/>
              </w:rPr>
              <w:t xml:space="preserve"> A concomitant </w:t>
            </w:r>
            <w:r w:rsidRPr="006B3C99">
              <w:rPr>
                <w:color w:val="000000"/>
                <w:sz w:val="24"/>
                <w:szCs w:val="24"/>
              </w:rPr>
              <w:t>increase in PCA for the population losing their EW eligibility is blended into the overall community rate, resulting in rates being increased by a fac</w:t>
            </w:r>
            <w:r w:rsidRPr="00FB3B58">
              <w:rPr>
                <w:color w:val="000000"/>
                <w:sz w:val="24"/>
                <w:szCs w:val="24"/>
              </w:rPr>
              <w:t>tor of 1.0024.</w:t>
            </w:r>
          </w:p>
          <w:p w14:paraId="3806DCC5" w14:textId="77777777" w:rsidR="006D6B46" w:rsidRPr="006D6B46" w:rsidRDefault="006D6B46" w:rsidP="006D6B46">
            <w:pPr>
              <w:tabs>
                <w:tab w:val="left" w:pos="687"/>
              </w:tabs>
              <w:rPr>
                <w:color w:val="000000"/>
                <w:sz w:val="24"/>
                <w:szCs w:val="24"/>
              </w:rPr>
            </w:pPr>
          </w:p>
          <w:p w14:paraId="6FF94B8F" w14:textId="545A9220" w:rsidR="00D35A2E" w:rsidRPr="006D6B46" w:rsidRDefault="006D6B46" w:rsidP="006D6B46">
            <w:pPr>
              <w:pStyle w:val="ListParagraph"/>
              <w:numPr>
                <w:ilvl w:val="0"/>
                <w:numId w:val="17"/>
              </w:numPr>
              <w:rPr>
                <w:color w:val="000000"/>
                <w:sz w:val="24"/>
                <w:szCs w:val="24"/>
              </w:rPr>
            </w:pPr>
            <w:r w:rsidRPr="006D6B46">
              <w:rPr>
                <w:color w:val="000000"/>
                <w:sz w:val="24"/>
                <w:szCs w:val="24"/>
              </w:rPr>
              <w:t>HCBS providers will receive a quality add-on increase to their rates effective July 1, 2015.  Based on the use of these services in the Seniors contract, aggregate factors applied to the community rates and the institutional rates for this adjustment are 1.00</w:t>
            </w:r>
            <w:r>
              <w:rPr>
                <w:color w:val="000000"/>
                <w:sz w:val="24"/>
                <w:szCs w:val="24"/>
              </w:rPr>
              <w:t>27 and 1.0001</w:t>
            </w:r>
            <w:r w:rsidRPr="006D6B46">
              <w:rPr>
                <w:color w:val="000000"/>
                <w:sz w:val="24"/>
                <w:szCs w:val="24"/>
              </w:rPr>
              <w:t xml:space="preserve">, respectively. </w:t>
            </w:r>
          </w:p>
          <w:p w14:paraId="0C97C1F5" w14:textId="77777777" w:rsidR="00E25CF6" w:rsidRDefault="00E25CF6" w:rsidP="00D67434">
            <w:pPr>
              <w:pStyle w:val="ListParagraph"/>
              <w:shd w:val="clear" w:color="auto" w:fill="FFFFFF"/>
              <w:tabs>
                <w:tab w:val="center" w:pos="4320"/>
                <w:tab w:val="right" w:pos="8640"/>
              </w:tabs>
              <w:spacing w:after="240"/>
              <w:rPr>
                <w:color w:val="000000"/>
                <w:sz w:val="24"/>
                <w:szCs w:val="24"/>
              </w:rPr>
            </w:pPr>
          </w:p>
          <w:p w14:paraId="7254B34B" w14:textId="77777777" w:rsidR="00630F77" w:rsidRDefault="00630F77" w:rsidP="00630F77">
            <w:pPr>
              <w:pStyle w:val="ListParagraph"/>
              <w:numPr>
                <w:ilvl w:val="0"/>
                <w:numId w:val="17"/>
              </w:numPr>
              <w:tabs>
                <w:tab w:val="left" w:pos="687"/>
              </w:tabs>
              <w:rPr>
                <w:color w:val="000000"/>
                <w:sz w:val="24"/>
                <w:szCs w:val="24"/>
              </w:rPr>
            </w:pPr>
            <w:r>
              <w:rPr>
                <w:color w:val="000000"/>
                <w:sz w:val="24"/>
                <w:szCs w:val="24"/>
              </w:rPr>
              <w:t xml:space="preserve">The Medicaid FFS inpatient hospital rates were reduced from September 1, 2011 through October 31, 2014, by 10%.  The reduction was not applied to managed care rates, and the state does not believe the managed care organizations follow the FFS rates closely; no adjustment was made to managed care rates, though inpatient unit cost trend was included in the trend adjustment for 2015. </w:t>
            </w:r>
          </w:p>
          <w:p w14:paraId="0DDEA36A" w14:textId="77777777" w:rsidR="006D6B46" w:rsidRPr="006D6B46" w:rsidRDefault="006D6B46" w:rsidP="006D6B46">
            <w:pPr>
              <w:pStyle w:val="ListParagraph"/>
              <w:rPr>
                <w:color w:val="000000"/>
                <w:sz w:val="24"/>
                <w:szCs w:val="24"/>
              </w:rPr>
            </w:pPr>
          </w:p>
          <w:p w14:paraId="32875BEF" w14:textId="26065E75" w:rsidR="006D6B46" w:rsidRDefault="006D6B46" w:rsidP="006D6B46">
            <w:pPr>
              <w:pStyle w:val="ListParagraph"/>
              <w:numPr>
                <w:ilvl w:val="0"/>
                <w:numId w:val="17"/>
              </w:numPr>
              <w:tabs>
                <w:tab w:val="left" w:pos="687"/>
              </w:tabs>
              <w:rPr>
                <w:color w:val="000000"/>
                <w:sz w:val="24"/>
                <w:szCs w:val="24"/>
              </w:rPr>
            </w:pPr>
            <w:r w:rsidRPr="006D6B46">
              <w:rPr>
                <w:color w:val="000000"/>
                <w:sz w:val="24"/>
                <w:szCs w:val="24"/>
              </w:rPr>
              <w:t>The Medicaid FFS inpatient hospital rates</w:t>
            </w:r>
            <w:r>
              <w:rPr>
                <w:color w:val="000000"/>
                <w:sz w:val="24"/>
                <w:szCs w:val="24"/>
              </w:rPr>
              <w:t xml:space="preserve"> </w:t>
            </w:r>
            <w:r w:rsidR="0011083B">
              <w:rPr>
                <w:color w:val="000000"/>
                <w:sz w:val="24"/>
                <w:szCs w:val="24"/>
              </w:rPr>
              <w:t xml:space="preserve">were </w:t>
            </w:r>
            <w:r>
              <w:rPr>
                <w:color w:val="000000"/>
                <w:sz w:val="24"/>
                <w:szCs w:val="24"/>
              </w:rPr>
              <w:t xml:space="preserve">rebased to APR-DRGs effective November 1, 2014, which would affect only the </w:t>
            </w:r>
            <w:r w:rsidR="00047A55">
              <w:rPr>
                <w:color w:val="000000"/>
                <w:sz w:val="24"/>
                <w:szCs w:val="24"/>
              </w:rPr>
              <w:t xml:space="preserve">small </w:t>
            </w:r>
            <w:r>
              <w:rPr>
                <w:color w:val="000000"/>
                <w:sz w:val="24"/>
                <w:szCs w:val="24"/>
              </w:rPr>
              <w:t xml:space="preserve">non-dual part of the Seniors population. No adjustment was made for this change.  </w:t>
            </w:r>
          </w:p>
          <w:p w14:paraId="65E99E37" w14:textId="77777777" w:rsidR="00630F77" w:rsidRPr="00630F77" w:rsidRDefault="00630F77" w:rsidP="00630F77">
            <w:pPr>
              <w:pStyle w:val="ListParagraph"/>
              <w:rPr>
                <w:color w:val="000000"/>
                <w:sz w:val="24"/>
                <w:szCs w:val="24"/>
              </w:rPr>
            </w:pPr>
          </w:p>
          <w:p w14:paraId="2982BFB9" w14:textId="77777777" w:rsidR="00D35A2E" w:rsidRDefault="00630F77" w:rsidP="00D35A2E">
            <w:pPr>
              <w:pStyle w:val="ListParagraph"/>
              <w:numPr>
                <w:ilvl w:val="0"/>
                <w:numId w:val="17"/>
              </w:numPr>
              <w:tabs>
                <w:tab w:val="left" w:pos="687"/>
              </w:tabs>
              <w:rPr>
                <w:color w:val="000000"/>
                <w:sz w:val="24"/>
                <w:szCs w:val="24"/>
              </w:rPr>
            </w:pPr>
            <w:r w:rsidRPr="0089580F">
              <w:rPr>
                <w:color w:val="000000"/>
                <w:sz w:val="24"/>
                <w:szCs w:val="24"/>
              </w:rPr>
              <w:t>Section 1902 (a)(13) of the Affordable Care Act (ACA) requires Medicaid primary care providers (PCPs) to be paid at 100% of the Medicare fee schedule for specific evaluation and management (E&amp;M) services. This provision was amended into the 2013 managed care contracts</w:t>
            </w:r>
            <w:r>
              <w:rPr>
                <w:color w:val="000000"/>
                <w:sz w:val="24"/>
                <w:szCs w:val="24"/>
              </w:rPr>
              <w:t xml:space="preserve"> but paid as a lump sum after the 2013 financial information showing MCO 2013 experience had been submitted</w:t>
            </w:r>
            <w:r w:rsidRPr="006C424C">
              <w:rPr>
                <w:color w:val="000000"/>
                <w:sz w:val="24"/>
                <w:szCs w:val="24"/>
              </w:rPr>
              <w:t>.</w:t>
            </w:r>
            <w:r>
              <w:rPr>
                <w:color w:val="000000"/>
                <w:sz w:val="24"/>
                <w:szCs w:val="24"/>
              </w:rPr>
              <w:t xml:space="preserve"> Thus, the PCP payment did not affect the 2013 experience upon which the 2015 rates are based. </w:t>
            </w:r>
          </w:p>
          <w:p w14:paraId="1B1E6081" w14:textId="77777777" w:rsidR="00D35A2E" w:rsidRPr="00D35A2E" w:rsidRDefault="00D35A2E" w:rsidP="00D35A2E">
            <w:pPr>
              <w:pStyle w:val="ListParagraph"/>
              <w:rPr>
                <w:color w:val="000000"/>
                <w:sz w:val="24"/>
                <w:szCs w:val="24"/>
              </w:rPr>
            </w:pPr>
          </w:p>
          <w:p w14:paraId="5488A839" w14:textId="3E15B107" w:rsidR="00630F77" w:rsidRPr="006D6B46" w:rsidRDefault="0011083B" w:rsidP="006D6B46">
            <w:pPr>
              <w:pStyle w:val="ListParagraph"/>
              <w:numPr>
                <w:ilvl w:val="0"/>
                <w:numId w:val="17"/>
              </w:numPr>
              <w:tabs>
                <w:tab w:val="left" w:pos="687"/>
              </w:tabs>
              <w:rPr>
                <w:color w:val="000000"/>
                <w:sz w:val="24"/>
                <w:szCs w:val="24"/>
              </w:rPr>
            </w:pPr>
            <w:r>
              <w:rPr>
                <w:color w:val="000000"/>
                <w:sz w:val="24"/>
                <w:szCs w:val="24"/>
              </w:rPr>
              <w:t xml:space="preserve">Changes in </w:t>
            </w:r>
            <w:r w:rsidR="00D35A2E" w:rsidRPr="006D6B46">
              <w:rPr>
                <w:color w:val="000000"/>
                <w:sz w:val="24"/>
                <w:szCs w:val="24"/>
              </w:rPr>
              <w:t>vaccine replacements, vaccine administration rate</w:t>
            </w:r>
            <w:r>
              <w:rPr>
                <w:color w:val="000000"/>
                <w:sz w:val="24"/>
                <w:szCs w:val="24"/>
              </w:rPr>
              <w:t>s</w:t>
            </w:r>
            <w:r w:rsidR="00D35A2E" w:rsidRPr="006D6B46">
              <w:rPr>
                <w:color w:val="000000"/>
                <w:sz w:val="24"/>
                <w:szCs w:val="24"/>
              </w:rPr>
              <w:t xml:space="preserve">, and exclusions </w:t>
            </w:r>
            <w:r>
              <w:rPr>
                <w:color w:val="000000"/>
                <w:sz w:val="24"/>
                <w:szCs w:val="24"/>
              </w:rPr>
              <w:t xml:space="preserve">of certain vaccines became </w:t>
            </w:r>
            <w:r w:rsidR="00D35A2E" w:rsidRPr="006D6B46">
              <w:rPr>
                <w:color w:val="000000"/>
                <w:sz w:val="24"/>
                <w:szCs w:val="24"/>
              </w:rPr>
              <w:t>effective January 1, 2014</w:t>
            </w:r>
            <w:r>
              <w:rPr>
                <w:color w:val="000000"/>
                <w:sz w:val="24"/>
                <w:szCs w:val="24"/>
              </w:rPr>
              <w:t>, for adults other than dual eligibles</w:t>
            </w:r>
            <w:r w:rsidR="00D35A2E" w:rsidRPr="006D6B46">
              <w:rPr>
                <w:color w:val="000000"/>
                <w:sz w:val="24"/>
                <w:szCs w:val="24"/>
              </w:rPr>
              <w:t xml:space="preserve">.  The effect of the change on this small part of the population did not require a rates adjustment. </w:t>
            </w:r>
          </w:p>
          <w:p w14:paraId="70825E9B" w14:textId="77777777" w:rsidR="004E0867" w:rsidRPr="006D6B46" w:rsidRDefault="004E0867" w:rsidP="006B3C99">
            <w:pPr>
              <w:pStyle w:val="ListParagraph"/>
              <w:rPr>
                <w:color w:val="000000"/>
                <w:sz w:val="24"/>
                <w:szCs w:val="24"/>
              </w:rPr>
            </w:pPr>
          </w:p>
          <w:p w14:paraId="2590E717" w14:textId="5D6262CD" w:rsidR="006B3C99" w:rsidRPr="006D6B46" w:rsidRDefault="006D6B46" w:rsidP="004E0867">
            <w:pPr>
              <w:pStyle w:val="ListParagraph"/>
              <w:numPr>
                <w:ilvl w:val="0"/>
                <w:numId w:val="17"/>
              </w:numPr>
              <w:tabs>
                <w:tab w:val="left" w:pos="687"/>
              </w:tabs>
              <w:rPr>
                <w:color w:val="000000"/>
                <w:sz w:val="24"/>
                <w:szCs w:val="24"/>
              </w:rPr>
            </w:pPr>
            <w:r w:rsidRPr="006D6B46">
              <w:rPr>
                <w:color w:val="000000"/>
                <w:sz w:val="24"/>
                <w:szCs w:val="24"/>
              </w:rPr>
              <w:t xml:space="preserve">No </w:t>
            </w:r>
            <w:r w:rsidR="006B3C99" w:rsidRPr="006D6B46">
              <w:rPr>
                <w:color w:val="000000"/>
                <w:sz w:val="24"/>
                <w:szCs w:val="24"/>
              </w:rPr>
              <w:t xml:space="preserve">adjustments were made for the following </w:t>
            </w:r>
            <w:r w:rsidRPr="006D6B46">
              <w:rPr>
                <w:color w:val="000000"/>
                <w:sz w:val="24"/>
                <w:szCs w:val="24"/>
              </w:rPr>
              <w:t xml:space="preserve">legislative changes </w:t>
            </w:r>
            <w:r w:rsidR="006B3C99" w:rsidRPr="006D6B46">
              <w:rPr>
                <w:color w:val="000000"/>
                <w:sz w:val="24"/>
                <w:szCs w:val="24"/>
              </w:rPr>
              <w:t>due to very low impact on the rates</w:t>
            </w:r>
            <w:r w:rsidR="004E0867" w:rsidRPr="006D6B46">
              <w:rPr>
                <w:color w:val="000000"/>
                <w:sz w:val="24"/>
                <w:szCs w:val="24"/>
              </w:rPr>
              <w:t xml:space="preserve"> or delays in implementation</w:t>
            </w:r>
            <w:r w:rsidR="006B3C99" w:rsidRPr="006D6B46">
              <w:rPr>
                <w:color w:val="000000"/>
                <w:sz w:val="24"/>
                <w:szCs w:val="24"/>
              </w:rPr>
              <w:t xml:space="preserve">: </w:t>
            </w:r>
            <w:r w:rsidR="004E0867" w:rsidRPr="006D6B46">
              <w:rPr>
                <w:color w:val="000000"/>
                <w:sz w:val="24"/>
                <w:szCs w:val="24"/>
              </w:rPr>
              <w:t xml:space="preserve">payments to Community Health Clinics for Family Planning; </w:t>
            </w:r>
            <w:r w:rsidR="00D35A2E" w:rsidRPr="006D6B46">
              <w:rPr>
                <w:color w:val="000000"/>
                <w:sz w:val="24"/>
                <w:szCs w:val="24"/>
              </w:rPr>
              <w:lastRenderedPageBreak/>
              <w:t>prohibition on prior authorization of certain dental services</w:t>
            </w:r>
            <w:r w:rsidRPr="006D6B46">
              <w:rPr>
                <w:color w:val="000000"/>
                <w:sz w:val="24"/>
                <w:szCs w:val="24"/>
              </w:rPr>
              <w:t xml:space="preserve"> and on the first 24 chiropractic visits in a calendar year</w:t>
            </w:r>
            <w:r w:rsidR="00D35A2E" w:rsidRPr="006D6B46">
              <w:rPr>
                <w:color w:val="000000"/>
                <w:sz w:val="24"/>
                <w:szCs w:val="24"/>
              </w:rPr>
              <w:t xml:space="preserve">; </w:t>
            </w:r>
            <w:r w:rsidR="006B3C99" w:rsidRPr="006D6B46">
              <w:rPr>
                <w:color w:val="000000"/>
                <w:sz w:val="24"/>
                <w:szCs w:val="24"/>
              </w:rPr>
              <w:t>Community First Service and Supports will replace PCA services</w:t>
            </w:r>
            <w:r w:rsidRPr="006D6B46">
              <w:rPr>
                <w:color w:val="000000"/>
                <w:sz w:val="24"/>
                <w:szCs w:val="24"/>
              </w:rPr>
              <w:t xml:space="preserve"> </w:t>
            </w:r>
            <w:r w:rsidR="004E0867" w:rsidRPr="006D6B46">
              <w:rPr>
                <w:color w:val="000000"/>
                <w:sz w:val="24"/>
                <w:szCs w:val="24"/>
              </w:rPr>
              <w:t>(</w:t>
            </w:r>
            <w:r w:rsidRPr="006D6B46">
              <w:rPr>
                <w:color w:val="000000"/>
                <w:sz w:val="24"/>
                <w:szCs w:val="24"/>
              </w:rPr>
              <w:t xml:space="preserve">another </w:t>
            </w:r>
            <w:r w:rsidR="004E0867" w:rsidRPr="006D6B46">
              <w:rPr>
                <w:color w:val="000000"/>
                <w:sz w:val="24"/>
                <w:szCs w:val="24"/>
              </w:rPr>
              <w:t>delayed implementation)</w:t>
            </w:r>
            <w:r w:rsidR="006B3C99" w:rsidRPr="006D6B46">
              <w:rPr>
                <w:color w:val="000000"/>
                <w:sz w:val="24"/>
                <w:szCs w:val="24"/>
              </w:rPr>
              <w:t>; new mental health providers will soon be allowed to provide existing service</w:t>
            </w:r>
            <w:r w:rsidR="00C71DC1" w:rsidRPr="006D6B46">
              <w:rPr>
                <w:color w:val="000000"/>
                <w:sz w:val="24"/>
                <w:szCs w:val="24"/>
              </w:rPr>
              <w:t>s</w:t>
            </w:r>
            <w:r w:rsidR="00047A55">
              <w:rPr>
                <w:color w:val="000000"/>
                <w:sz w:val="24"/>
                <w:szCs w:val="24"/>
              </w:rPr>
              <w:t>,</w:t>
            </w:r>
            <w:r w:rsidRPr="006D6B46">
              <w:rPr>
                <w:color w:val="000000"/>
                <w:sz w:val="24"/>
                <w:szCs w:val="24"/>
              </w:rPr>
              <w:t xml:space="preserve"> and some expansion of mental health crisis provider responsibilities</w:t>
            </w:r>
            <w:r w:rsidR="00D35A2E" w:rsidRPr="006D6B46">
              <w:rPr>
                <w:color w:val="000000"/>
                <w:sz w:val="24"/>
                <w:szCs w:val="24"/>
              </w:rPr>
              <w:t>; a small (</w:t>
            </w:r>
            <w:r w:rsidR="00610946">
              <w:rPr>
                <w:color w:val="000000"/>
                <w:sz w:val="24"/>
                <w:szCs w:val="24"/>
              </w:rPr>
              <w:t>0</w:t>
            </w:r>
            <w:r w:rsidR="00D35A2E" w:rsidRPr="006D6B46">
              <w:rPr>
                <w:color w:val="000000"/>
                <w:sz w:val="24"/>
                <w:szCs w:val="24"/>
              </w:rPr>
              <w:t>.33%) reduction for FFS DME rates was implemented in 2014, and the Legislature has extended a freeze on DME pricing</w:t>
            </w:r>
            <w:r w:rsidRPr="006D6B46">
              <w:rPr>
                <w:color w:val="000000"/>
                <w:sz w:val="24"/>
                <w:szCs w:val="24"/>
              </w:rPr>
              <w:t>; a change in the method of payment to FQHCs and RHCs affecting only the 4% of the Seniors population that is dually eligible</w:t>
            </w:r>
            <w:r w:rsidR="00C71DC1" w:rsidRPr="006D6B46">
              <w:rPr>
                <w:color w:val="000000"/>
                <w:sz w:val="24"/>
                <w:szCs w:val="24"/>
              </w:rPr>
              <w:t xml:space="preserve">.  </w:t>
            </w:r>
            <w:r w:rsidR="006B3C99" w:rsidRPr="006D6B46">
              <w:rPr>
                <w:color w:val="000000"/>
                <w:sz w:val="24"/>
                <w:szCs w:val="24"/>
              </w:rPr>
              <w:t xml:space="preserve"> </w:t>
            </w:r>
          </w:p>
          <w:p w14:paraId="16490345" w14:textId="77777777" w:rsidR="00E25CF6" w:rsidRPr="006D6B46" w:rsidRDefault="00E25CF6" w:rsidP="00D67434"/>
          <w:p w14:paraId="0A0F310E" w14:textId="3F5A2DE8" w:rsidR="00E25CF6" w:rsidRPr="00547452" w:rsidRDefault="006B3C99" w:rsidP="0052623C">
            <w:pPr>
              <w:shd w:val="clear" w:color="auto" w:fill="FFFFFF"/>
              <w:tabs>
                <w:tab w:val="center" w:pos="4320"/>
                <w:tab w:val="right" w:pos="8640"/>
              </w:tabs>
              <w:spacing w:after="240"/>
              <w:rPr>
                <w:color w:val="000000"/>
                <w:sz w:val="24"/>
                <w:szCs w:val="24"/>
              </w:rPr>
            </w:pPr>
            <w:r w:rsidRPr="00547452">
              <w:rPr>
                <w:color w:val="000000"/>
                <w:sz w:val="24"/>
                <w:szCs w:val="24"/>
              </w:rPr>
              <w:t>Further d</w:t>
            </w:r>
            <w:r w:rsidR="00E25CF6" w:rsidRPr="00547452">
              <w:rPr>
                <w:color w:val="000000"/>
                <w:sz w:val="24"/>
                <w:szCs w:val="24"/>
              </w:rPr>
              <w:t xml:space="preserve">etails of the basic care changes can be found in </w:t>
            </w:r>
            <w:r w:rsidR="002D3BF0" w:rsidRPr="002D3BF0">
              <w:rPr>
                <w:color w:val="000000"/>
                <w:sz w:val="24"/>
                <w:szCs w:val="24"/>
              </w:rPr>
              <w:t>Attachment A</w:t>
            </w:r>
            <w:r w:rsidR="00E25CF6" w:rsidRPr="00547452">
              <w:rPr>
                <w:color w:val="000000"/>
                <w:sz w:val="24"/>
                <w:szCs w:val="24"/>
              </w:rPr>
              <w:t xml:space="preserve">, Section </w:t>
            </w:r>
            <w:r w:rsidR="006C424C" w:rsidRPr="00547452">
              <w:rPr>
                <w:color w:val="000000"/>
                <w:sz w:val="24"/>
                <w:szCs w:val="24"/>
              </w:rPr>
              <w:t xml:space="preserve">II, pages </w:t>
            </w:r>
            <w:r w:rsidR="006D6B46" w:rsidRPr="00547452">
              <w:rPr>
                <w:color w:val="000000"/>
                <w:sz w:val="24"/>
                <w:szCs w:val="24"/>
              </w:rPr>
              <w:t>9</w:t>
            </w:r>
            <w:r w:rsidR="006C424C" w:rsidRPr="00547452">
              <w:rPr>
                <w:color w:val="000000"/>
                <w:sz w:val="24"/>
                <w:szCs w:val="24"/>
              </w:rPr>
              <w:t>-</w:t>
            </w:r>
            <w:r w:rsidR="005F4150" w:rsidRPr="00547452">
              <w:rPr>
                <w:color w:val="000000"/>
                <w:sz w:val="24"/>
                <w:szCs w:val="24"/>
              </w:rPr>
              <w:t>1</w:t>
            </w:r>
            <w:r w:rsidR="006D6B46" w:rsidRPr="00547452">
              <w:rPr>
                <w:color w:val="000000"/>
                <w:sz w:val="24"/>
                <w:szCs w:val="24"/>
              </w:rPr>
              <w:t>4</w:t>
            </w:r>
            <w:r w:rsidR="00E25CF6" w:rsidRPr="00547452">
              <w:rPr>
                <w:color w:val="000000"/>
                <w:sz w:val="24"/>
                <w:szCs w:val="24"/>
              </w:rPr>
              <w:t>.</w:t>
            </w:r>
          </w:p>
          <w:p w14:paraId="03D9A867" w14:textId="77777777" w:rsidR="00E25CF6" w:rsidRPr="00547452" w:rsidRDefault="00E25CF6" w:rsidP="00525DDB">
            <w:pPr>
              <w:shd w:val="clear" w:color="auto" w:fill="FFFFFF"/>
              <w:tabs>
                <w:tab w:val="left" w:pos="1462"/>
                <w:tab w:val="center" w:pos="4320"/>
                <w:tab w:val="right" w:pos="8640"/>
              </w:tabs>
              <w:spacing w:after="240"/>
              <w:rPr>
                <w:bCs/>
                <w:color w:val="000000"/>
                <w:spacing w:val="-1"/>
                <w:sz w:val="24"/>
                <w:szCs w:val="24"/>
                <w:u w:val="single"/>
              </w:rPr>
            </w:pPr>
            <w:r w:rsidRPr="00547452">
              <w:rPr>
                <w:bCs/>
                <w:color w:val="000000"/>
                <w:spacing w:val="-1"/>
                <w:sz w:val="24"/>
                <w:szCs w:val="24"/>
                <w:u w:val="single"/>
              </w:rPr>
              <w:t xml:space="preserve">Elderly Waiver </w:t>
            </w:r>
          </w:p>
          <w:p w14:paraId="501E2161" w14:textId="086B95A5" w:rsidR="00E25CF6" w:rsidRPr="00547452" w:rsidRDefault="00E25CF6" w:rsidP="00D67434">
            <w:pPr>
              <w:shd w:val="clear" w:color="auto" w:fill="FFFFFF"/>
              <w:tabs>
                <w:tab w:val="left" w:pos="1462"/>
                <w:tab w:val="center" w:pos="4320"/>
                <w:tab w:val="right" w:pos="8640"/>
              </w:tabs>
              <w:spacing w:after="240"/>
              <w:rPr>
                <w:bCs/>
                <w:color w:val="000000"/>
                <w:spacing w:val="-1"/>
                <w:sz w:val="24"/>
                <w:szCs w:val="24"/>
              </w:rPr>
            </w:pPr>
            <w:r w:rsidRPr="00547452">
              <w:rPr>
                <w:bCs/>
                <w:color w:val="000000"/>
                <w:spacing w:val="-1"/>
                <w:sz w:val="24"/>
                <w:szCs w:val="24"/>
              </w:rPr>
              <w:t xml:space="preserve">The EW add-on rates were developed using CY </w:t>
            </w:r>
            <w:r w:rsidR="007B37E3" w:rsidRPr="00547452">
              <w:rPr>
                <w:bCs/>
                <w:color w:val="000000"/>
                <w:spacing w:val="-1"/>
                <w:sz w:val="24"/>
                <w:szCs w:val="24"/>
              </w:rPr>
              <w:t>201</w:t>
            </w:r>
            <w:r w:rsidR="00547452">
              <w:rPr>
                <w:bCs/>
                <w:color w:val="000000"/>
                <w:spacing w:val="-1"/>
                <w:sz w:val="24"/>
                <w:szCs w:val="24"/>
              </w:rPr>
              <w:t>3</w:t>
            </w:r>
            <w:r w:rsidRPr="00547452">
              <w:rPr>
                <w:bCs/>
                <w:color w:val="000000"/>
                <w:spacing w:val="-1"/>
                <w:sz w:val="24"/>
                <w:szCs w:val="24"/>
              </w:rPr>
              <w:t xml:space="preserve"> health plan experience.  The experience was adjusted to account for legislative changes that </w:t>
            </w:r>
            <w:r w:rsidR="00FD0ECA" w:rsidRPr="00547452">
              <w:rPr>
                <w:bCs/>
                <w:color w:val="000000"/>
                <w:spacing w:val="-1"/>
                <w:sz w:val="24"/>
                <w:szCs w:val="24"/>
              </w:rPr>
              <w:t>affected</w:t>
            </w:r>
            <w:r w:rsidRPr="00547452">
              <w:rPr>
                <w:bCs/>
                <w:color w:val="000000"/>
                <w:spacing w:val="-1"/>
                <w:sz w:val="24"/>
                <w:szCs w:val="24"/>
              </w:rPr>
              <w:t xml:space="preserve"> the </w:t>
            </w:r>
            <w:r w:rsidR="007B37E3" w:rsidRPr="00547452">
              <w:rPr>
                <w:bCs/>
                <w:color w:val="000000"/>
                <w:spacing w:val="-1"/>
                <w:sz w:val="24"/>
                <w:szCs w:val="24"/>
              </w:rPr>
              <w:t xml:space="preserve">relevant year’s </w:t>
            </w:r>
            <w:r w:rsidRPr="00547452">
              <w:rPr>
                <w:bCs/>
                <w:color w:val="000000"/>
                <w:spacing w:val="-1"/>
                <w:sz w:val="24"/>
                <w:szCs w:val="24"/>
              </w:rPr>
              <w:t xml:space="preserve">rates.  </w:t>
            </w:r>
            <w:r w:rsidR="00F32A1C" w:rsidRPr="00547452">
              <w:rPr>
                <w:bCs/>
                <w:color w:val="000000"/>
                <w:spacing w:val="-1"/>
                <w:sz w:val="24"/>
                <w:szCs w:val="24"/>
              </w:rPr>
              <w:t xml:space="preserve">For </w:t>
            </w:r>
            <w:r w:rsidRPr="00547452">
              <w:rPr>
                <w:bCs/>
                <w:color w:val="000000"/>
                <w:spacing w:val="-1"/>
                <w:sz w:val="24"/>
                <w:szCs w:val="24"/>
              </w:rPr>
              <w:t>brevity</w:t>
            </w:r>
            <w:r w:rsidR="00F01DC4">
              <w:rPr>
                <w:bCs/>
                <w:color w:val="000000"/>
                <w:spacing w:val="-1"/>
                <w:sz w:val="24"/>
                <w:szCs w:val="24"/>
              </w:rPr>
              <w:t>,</w:t>
            </w:r>
            <w:r w:rsidRPr="00547452">
              <w:rPr>
                <w:bCs/>
                <w:color w:val="000000"/>
                <w:spacing w:val="-1"/>
                <w:sz w:val="24"/>
                <w:szCs w:val="24"/>
              </w:rPr>
              <w:t xml:space="preserve"> </w:t>
            </w:r>
            <w:r w:rsidR="00F32A1C" w:rsidRPr="00547452">
              <w:rPr>
                <w:bCs/>
                <w:color w:val="000000"/>
                <w:spacing w:val="-1"/>
                <w:sz w:val="24"/>
                <w:szCs w:val="24"/>
              </w:rPr>
              <w:t xml:space="preserve">previous benefit changes </w:t>
            </w:r>
            <w:r w:rsidR="00051C5F" w:rsidRPr="00547452">
              <w:rPr>
                <w:bCs/>
                <w:color w:val="000000"/>
                <w:spacing w:val="-1"/>
                <w:sz w:val="24"/>
                <w:szCs w:val="24"/>
              </w:rPr>
              <w:t xml:space="preserve">are not </w:t>
            </w:r>
            <w:r w:rsidRPr="00547452">
              <w:rPr>
                <w:bCs/>
                <w:color w:val="000000"/>
                <w:spacing w:val="-1"/>
                <w:sz w:val="24"/>
                <w:szCs w:val="24"/>
              </w:rPr>
              <w:t>list</w:t>
            </w:r>
            <w:r w:rsidR="00051C5F" w:rsidRPr="00547452">
              <w:rPr>
                <w:bCs/>
                <w:color w:val="000000"/>
                <w:spacing w:val="-1"/>
                <w:sz w:val="24"/>
                <w:szCs w:val="24"/>
              </w:rPr>
              <w:t>ed</w:t>
            </w:r>
            <w:r w:rsidRPr="00547452">
              <w:rPr>
                <w:bCs/>
                <w:color w:val="000000"/>
                <w:spacing w:val="-1"/>
                <w:sz w:val="24"/>
                <w:szCs w:val="24"/>
              </w:rPr>
              <w:t xml:space="preserve"> again in this checklist.    </w:t>
            </w:r>
          </w:p>
          <w:p w14:paraId="6B9B67C4" w14:textId="39316D44" w:rsidR="00547452" w:rsidRPr="00547452" w:rsidRDefault="00547452" w:rsidP="00547452">
            <w:pPr>
              <w:pStyle w:val="ListParagraph"/>
              <w:numPr>
                <w:ilvl w:val="0"/>
                <w:numId w:val="21"/>
              </w:numPr>
              <w:rPr>
                <w:bCs/>
                <w:color w:val="000000"/>
                <w:spacing w:val="-1"/>
                <w:sz w:val="24"/>
                <w:szCs w:val="24"/>
              </w:rPr>
            </w:pPr>
            <w:r w:rsidRPr="00547452">
              <w:rPr>
                <w:bCs/>
                <w:color w:val="000000"/>
                <w:spacing w:val="-1"/>
                <w:sz w:val="24"/>
                <w:szCs w:val="24"/>
              </w:rPr>
              <w:t>Legislation reduced the 2009 rates for certain services by 1.</w:t>
            </w:r>
            <w:r w:rsidR="00610946">
              <w:rPr>
                <w:bCs/>
                <w:color w:val="000000"/>
                <w:spacing w:val="-1"/>
                <w:sz w:val="24"/>
                <w:szCs w:val="24"/>
              </w:rPr>
              <w:t>0</w:t>
            </w:r>
            <w:r w:rsidRPr="00547452">
              <w:rPr>
                <w:bCs/>
                <w:color w:val="000000"/>
                <w:spacing w:val="-1"/>
                <w:sz w:val="24"/>
                <w:szCs w:val="24"/>
              </w:rPr>
              <w:t>%</w:t>
            </w:r>
            <w:r>
              <w:rPr>
                <w:bCs/>
                <w:color w:val="000000"/>
                <w:spacing w:val="-1"/>
                <w:sz w:val="24"/>
                <w:szCs w:val="24"/>
              </w:rPr>
              <w:t xml:space="preserve"> </w:t>
            </w:r>
            <w:r w:rsidRPr="00547452">
              <w:rPr>
                <w:bCs/>
                <w:color w:val="000000"/>
                <w:spacing w:val="-1"/>
                <w:sz w:val="24"/>
                <w:szCs w:val="24"/>
              </w:rPr>
              <w:t xml:space="preserve">which continued to affect the 2013 experience used to develop the 2015 </w:t>
            </w:r>
            <w:r>
              <w:rPr>
                <w:bCs/>
                <w:color w:val="000000"/>
                <w:spacing w:val="-1"/>
                <w:sz w:val="24"/>
                <w:szCs w:val="24"/>
              </w:rPr>
              <w:t xml:space="preserve">EW </w:t>
            </w:r>
            <w:r w:rsidRPr="00547452">
              <w:rPr>
                <w:bCs/>
                <w:color w:val="000000"/>
                <w:spacing w:val="-1"/>
                <w:sz w:val="24"/>
                <w:szCs w:val="24"/>
              </w:rPr>
              <w:t xml:space="preserve">rates.  The aggregate factors applied for the upcoming year </w:t>
            </w:r>
            <w:r>
              <w:rPr>
                <w:bCs/>
                <w:color w:val="000000"/>
                <w:spacing w:val="-1"/>
                <w:sz w:val="24"/>
                <w:szCs w:val="24"/>
              </w:rPr>
              <w:t>are 1.0009 for EW services and 1.0025 for the care coordination services part of the EW rates.</w:t>
            </w:r>
          </w:p>
          <w:p w14:paraId="374CF4FE" w14:textId="77777777" w:rsidR="00E25CF6" w:rsidRPr="00533FEE" w:rsidRDefault="00E25CF6" w:rsidP="00D67434">
            <w:pPr>
              <w:pStyle w:val="ListParagraph"/>
              <w:shd w:val="clear" w:color="auto" w:fill="FFFFFF"/>
              <w:tabs>
                <w:tab w:val="left" w:pos="1462"/>
                <w:tab w:val="center" w:pos="4320"/>
                <w:tab w:val="right" w:pos="8640"/>
              </w:tabs>
              <w:spacing w:after="240"/>
              <w:rPr>
                <w:bCs/>
                <w:color w:val="000000"/>
                <w:spacing w:val="-1"/>
                <w:sz w:val="24"/>
                <w:szCs w:val="24"/>
              </w:rPr>
            </w:pPr>
          </w:p>
          <w:p w14:paraId="6CDDCE1D" w14:textId="004A41A8" w:rsidR="00E25CF6" w:rsidRPr="00FE7D3C" w:rsidRDefault="00610946" w:rsidP="00610946">
            <w:pPr>
              <w:pStyle w:val="ListParagraph"/>
              <w:numPr>
                <w:ilvl w:val="0"/>
                <w:numId w:val="21"/>
              </w:numPr>
              <w:shd w:val="clear" w:color="auto" w:fill="FFFFFF"/>
              <w:tabs>
                <w:tab w:val="left" w:pos="1462"/>
                <w:tab w:val="center" w:pos="4320"/>
                <w:tab w:val="right" w:pos="8640"/>
              </w:tabs>
              <w:spacing w:after="240"/>
              <w:rPr>
                <w:sz w:val="24"/>
                <w:szCs w:val="24"/>
              </w:rPr>
            </w:pPr>
            <w:r w:rsidRPr="00610946">
              <w:rPr>
                <w:bCs/>
                <w:color w:val="000000"/>
                <w:spacing w:val="-1"/>
                <w:sz w:val="24"/>
                <w:szCs w:val="24"/>
              </w:rPr>
              <w:t>Minnesota Session Law Ch. 108, Article 7, Section 60</w:t>
            </w:r>
            <w:r w:rsidR="00547452" w:rsidRPr="00547452">
              <w:rPr>
                <w:bCs/>
                <w:color w:val="000000"/>
                <w:spacing w:val="-1"/>
                <w:sz w:val="24"/>
                <w:szCs w:val="24"/>
              </w:rPr>
              <w:t xml:space="preserve"> required reimbursement rates, grants, allocation, individual limits, and rate limits to be increased by 1% for the rate period beginning April 1, 2014.  A</w:t>
            </w:r>
            <w:r w:rsidR="00547452">
              <w:rPr>
                <w:bCs/>
                <w:color w:val="000000"/>
                <w:spacing w:val="-1"/>
                <w:sz w:val="24"/>
                <w:szCs w:val="24"/>
              </w:rPr>
              <w:t>n a</w:t>
            </w:r>
            <w:r w:rsidR="00547452" w:rsidRPr="00547452">
              <w:rPr>
                <w:bCs/>
                <w:color w:val="000000"/>
                <w:spacing w:val="-1"/>
                <w:sz w:val="24"/>
                <w:szCs w:val="24"/>
              </w:rPr>
              <w:t>djustment factor</w:t>
            </w:r>
            <w:r w:rsidR="00547452">
              <w:rPr>
                <w:bCs/>
                <w:color w:val="000000"/>
                <w:spacing w:val="-1"/>
                <w:sz w:val="24"/>
                <w:szCs w:val="24"/>
              </w:rPr>
              <w:t xml:space="preserve"> of 1.0100 was </w:t>
            </w:r>
            <w:r w:rsidR="00547452" w:rsidRPr="00547452">
              <w:rPr>
                <w:bCs/>
                <w:color w:val="000000"/>
                <w:spacing w:val="-1"/>
                <w:sz w:val="24"/>
                <w:szCs w:val="24"/>
              </w:rPr>
              <w:t>calculated based on service category mix of the 2013 experience</w:t>
            </w:r>
            <w:r w:rsidR="005F4150" w:rsidRPr="00547452">
              <w:rPr>
                <w:bCs/>
                <w:color w:val="000000"/>
                <w:spacing w:val="-1"/>
                <w:sz w:val="24"/>
                <w:szCs w:val="24"/>
              </w:rPr>
              <w:t>.</w:t>
            </w:r>
            <w:r w:rsidR="00E25CF6" w:rsidRPr="00547452">
              <w:rPr>
                <w:bCs/>
                <w:color w:val="000000"/>
                <w:spacing w:val="-1"/>
                <w:sz w:val="24"/>
                <w:szCs w:val="24"/>
              </w:rPr>
              <w:t xml:space="preserve">  </w:t>
            </w:r>
          </w:p>
          <w:p w14:paraId="6A1A51EB" w14:textId="77777777" w:rsidR="00FE7D3C" w:rsidRPr="00FE7D3C" w:rsidRDefault="00FE7D3C" w:rsidP="00FE7D3C">
            <w:pPr>
              <w:pStyle w:val="ListParagraph"/>
              <w:rPr>
                <w:sz w:val="24"/>
                <w:szCs w:val="24"/>
              </w:rPr>
            </w:pPr>
          </w:p>
          <w:p w14:paraId="2BC61B84" w14:textId="15DE240B" w:rsidR="00FE7D3C" w:rsidRDefault="00FE7D3C" w:rsidP="00FE7D3C">
            <w:pPr>
              <w:pStyle w:val="ListParagraph"/>
              <w:numPr>
                <w:ilvl w:val="0"/>
                <w:numId w:val="21"/>
              </w:numPr>
              <w:shd w:val="clear" w:color="auto" w:fill="FFFFFF"/>
              <w:tabs>
                <w:tab w:val="left" w:pos="1462"/>
                <w:tab w:val="center" w:pos="4320"/>
                <w:tab w:val="right" w:pos="8640"/>
              </w:tabs>
              <w:spacing w:after="240"/>
              <w:rPr>
                <w:sz w:val="24"/>
                <w:szCs w:val="24"/>
              </w:rPr>
            </w:pPr>
            <w:r w:rsidRPr="00FE7D3C">
              <w:rPr>
                <w:sz w:val="24"/>
                <w:szCs w:val="24"/>
              </w:rPr>
              <w:t xml:space="preserve">2014 legislation required a 5% rate increase for continuing care providers, effective July 1, 2014.  </w:t>
            </w:r>
            <w:r>
              <w:rPr>
                <w:sz w:val="24"/>
                <w:szCs w:val="24"/>
              </w:rPr>
              <w:t>A factor</w:t>
            </w:r>
            <w:r w:rsidRPr="00FE7D3C">
              <w:rPr>
                <w:sz w:val="24"/>
                <w:szCs w:val="24"/>
              </w:rPr>
              <w:t xml:space="preserve"> of 1.0</w:t>
            </w:r>
            <w:r>
              <w:rPr>
                <w:sz w:val="24"/>
                <w:szCs w:val="24"/>
              </w:rPr>
              <w:t>500</w:t>
            </w:r>
            <w:r w:rsidRPr="00FE7D3C">
              <w:rPr>
                <w:sz w:val="24"/>
                <w:szCs w:val="24"/>
              </w:rPr>
              <w:t xml:space="preserve"> </w:t>
            </w:r>
            <w:r>
              <w:rPr>
                <w:sz w:val="24"/>
                <w:szCs w:val="24"/>
              </w:rPr>
              <w:t xml:space="preserve">was </w:t>
            </w:r>
            <w:r w:rsidRPr="00FE7D3C">
              <w:rPr>
                <w:sz w:val="24"/>
                <w:szCs w:val="24"/>
              </w:rPr>
              <w:t xml:space="preserve">applied, based on the cost of the affected </w:t>
            </w:r>
            <w:r>
              <w:rPr>
                <w:sz w:val="24"/>
                <w:szCs w:val="24"/>
              </w:rPr>
              <w:t xml:space="preserve">EW </w:t>
            </w:r>
            <w:r w:rsidRPr="00FE7D3C">
              <w:rPr>
                <w:sz w:val="24"/>
                <w:szCs w:val="24"/>
              </w:rPr>
              <w:t>services</w:t>
            </w:r>
            <w:r>
              <w:rPr>
                <w:sz w:val="24"/>
                <w:szCs w:val="24"/>
              </w:rPr>
              <w:t>.</w:t>
            </w:r>
          </w:p>
          <w:p w14:paraId="3EC415E4" w14:textId="77777777" w:rsidR="00FE7D3C" w:rsidRPr="00FE7D3C" w:rsidRDefault="00FE7D3C" w:rsidP="00FE7D3C">
            <w:pPr>
              <w:pStyle w:val="ListParagraph"/>
              <w:rPr>
                <w:sz w:val="24"/>
                <w:szCs w:val="24"/>
              </w:rPr>
            </w:pPr>
          </w:p>
          <w:p w14:paraId="0619695B" w14:textId="03F98F05" w:rsidR="00FE7D3C" w:rsidRPr="00FE7D3C" w:rsidRDefault="00FE7D3C" w:rsidP="00FE7D3C">
            <w:pPr>
              <w:pStyle w:val="ListParagraph"/>
              <w:numPr>
                <w:ilvl w:val="0"/>
                <w:numId w:val="21"/>
              </w:numPr>
              <w:shd w:val="clear" w:color="auto" w:fill="FFFFFF"/>
              <w:tabs>
                <w:tab w:val="left" w:pos="1462"/>
                <w:tab w:val="center" w:pos="4320"/>
                <w:tab w:val="right" w:pos="8640"/>
              </w:tabs>
              <w:spacing w:after="240"/>
              <w:rPr>
                <w:sz w:val="24"/>
                <w:szCs w:val="24"/>
              </w:rPr>
            </w:pPr>
            <w:r w:rsidRPr="00FE7D3C">
              <w:rPr>
                <w:sz w:val="24"/>
                <w:szCs w:val="24"/>
              </w:rPr>
              <w:t xml:space="preserve">HCBS providers will receive a quality add-on increase to their rates effective July 1, 2015.  Based on the use of these services </w:t>
            </w:r>
            <w:r>
              <w:rPr>
                <w:sz w:val="24"/>
                <w:szCs w:val="24"/>
              </w:rPr>
              <w:t xml:space="preserve">an </w:t>
            </w:r>
            <w:r w:rsidRPr="00FE7D3C">
              <w:rPr>
                <w:sz w:val="24"/>
                <w:szCs w:val="24"/>
              </w:rPr>
              <w:t xml:space="preserve">adjustment </w:t>
            </w:r>
            <w:r>
              <w:rPr>
                <w:sz w:val="24"/>
                <w:szCs w:val="24"/>
              </w:rPr>
              <w:t>of 1.0050 was applied for E</w:t>
            </w:r>
            <w:r w:rsidRPr="00FE7D3C">
              <w:rPr>
                <w:sz w:val="24"/>
                <w:szCs w:val="24"/>
              </w:rPr>
              <w:t xml:space="preserve">W services. </w:t>
            </w:r>
          </w:p>
          <w:p w14:paraId="3BF3870A" w14:textId="77777777" w:rsidR="00547452" w:rsidRPr="00FE7D3C" w:rsidRDefault="00547452" w:rsidP="00547452">
            <w:pPr>
              <w:pStyle w:val="ListParagraph"/>
              <w:rPr>
                <w:sz w:val="24"/>
                <w:szCs w:val="24"/>
              </w:rPr>
            </w:pPr>
          </w:p>
          <w:p w14:paraId="143919FC" w14:textId="328FC0B2" w:rsidR="00E25CF6" w:rsidRPr="00FE7D3C" w:rsidRDefault="00E25CF6" w:rsidP="00525DDB">
            <w:pPr>
              <w:shd w:val="clear" w:color="auto" w:fill="FFFFFF"/>
              <w:tabs>
                <w:tab w:val="center" w:pos="4320"/>
                <w:tab w:val="right" w:pos="8640"/>
              </w:tabs>
              <w:spacing w:after="240"/>
            </w:pPr>
            <w:r w:rsidRPr="00FE7D3C">
              <w:rPr>
                <w:bCs/>
                <w:color w:val="000000"/>
                <w:spacing w:val="-1"/>
                <w:sz w:val="24"/>
                <w:szCs w:val="24"/>
              </w:rPr>
              <w:t xml:space="preserve">Details can be found in </w:t>
            </w:r>
            <w:r w:rsidR="002D3BF0" w:rsidRPr="002D3BF0">
              <w:rPr>
                <w:bCs/>
                <w:color w:val="000000"/>
                <w:spacing w:val="-1"/>
                <w:sz w:val="24"/>
                <w:szCs w:val="24"/>
              </w:rPr>
              <w:t>Attachment A</w:t>
            </w:r>
            <w:r w:rsidRPr="00FE7D3C">
              <w:rPr>
                <w:bCs/>
                <w:color w:val="000000"/>
                <w:spacing w:val="-1"/>
                <w:sz w:val="24"/>
                <w:szCs w:val="24"/>
              </w:rPr>
              <w:t xml:space="preserve">, Section </w:t>
            </w:r>
            <w:r w:rsidR="00FB3B58" w:rsidRPr="00FE7D3C">
              <w:rPr>
                <w:bCs/>
                <w:color w:val="000000"/>
                <w:spacing w:val="-1"/>
                <w:sz w:val="24"/>
                <w:szCs w:val="24"/>
              </w:rPr>
              <w:t xml:space="preserve">III, pages </w:t>
            </w:r>
            <w:r w:rsidR="00FE7D3C" w:rsidRPr="00FE7D3C">
              <w:rPr>
                <w:bCs/>
                <w:color w:val="000000"/>
                <w:spacing w:val="-1"/>
                <w:sz w:val="24"/>
                <w:szCs w:val="24"/>
              </w:rPr>
              <w:t>18-19</w:t>
            </w:r>
            <w:r w:rsidRPr="00FE7D3C">
              <w:rPr>
                <w:bCs/>
                <w:color w:val="000000"/>
                <w:spacing w:val="-1"/>
                <w:sz w:val="24"/>
                <w:szCs w:val="24"/>
              </w:rPr>
              <w:t>.</w:t>
            </w:r>
          </w:p>
          <w:p w14:paraId="6DA69E4D" w14:textId="77777777" w:rsidR="00E25CF6" w:rsidRPr="00FE7D3C" w:rsidRDefault="00E25CF6" w:rsidP="00B237B7">
            <w:pPr>
              <w:shd w:val="clear" w:color="auto" w:fill="FFFFFF"/>
              <w:tabs>
                <w:tab w:val="left" w:pos="1462"/>
                <w:tab w:val="center" w:pos="4320"/>
                <w:tab w:val="right" w:pos="8640"/>
              </w:tabs>
              <w:spacing w:after="240"/>
              <w:rPr>
                <w:bCs/>
                <w:color w:val="000000"/>
                <w:spacing w:val="-1"/>
                <w:sz w:val="24"/>
                <w:szCs w:val="24"/>
                <w:u w:val="single"/>
              </w:rPr>
            </w:pPr>
            <w:r w:rsidRPr="00FE7D3C">
              <w:rPr>
                <w:bCs/>
                <w:color w:val="000000"/>
                <w:spacing w:val="-1"/>
                <w:sz w:val="24"/>
                <w:szCs w:val="24"/>
                <w:u w:val="single"/>
              </w:rPr>
              <w:t>Nursing Facility (NF)</w:t>
            </w:r>
          </w:p>
          <w:p w14:paraId="2C13F44C" w14:textId="4B6AC041" w:rsidR="00E25CF6" w:rsidRPr="00D67434" w:rsidRDefault="00FE7D3C" w:rsidP="0052623C">
            <w:pPr>
              <w:shd w:val="clear" w:color="auto" w:fill="FFFFFF"/>
              <w:tabs>
                <w:tab w:val="left" w:pos="1462"/>
                <w:tab w:val="center" w:pos="4320"/>
                <w:tab w:val="right" w:pos="8640"/>
              </w:tabs>
              <w:spacing w:after="240"/>
              <w:rPr>
                <w:bCs/>
                <w:color w:val="000000"/>
                <w:spacing w:val="-1"/>
                <w:sz w:val="24"/>
                <w:szCs w:val="24"/>
                <w:u w:val="single"/>
              </w:rPr>
            </w:pPr>
            <w:r w:rsidRPr="00FE7D3C">
              <w:rPr>
                <w:bCs/>
                <w:color w:val="000000"/>
                <w:spacing w:val="-1"/>
                <w:sz w:val="24"/>
                <w:szCs w:val="24"/>
              </w:rPr>
              <w:t xml:space="preserve">There are no NF </w:t>
            </w:r>
            <w:r w:rsidR="00E25CF6" w:rsidRPr="00FE7D3C">
              <w:rPr>
                <w:bCs/>
                <w:color w:val="000000"/>
                <w:spacing w:val="-1"/>
                <w:sz w:val="24"/>
                <w:szCs w:val="24"/>
              </w:rPr>
              <w:t>benefit changes</w:t>
            </w:r>
            <w:r w:rsidR="00F32A1C" w:rsidRPr="00FE7D3C">
              <w:rPr>
                <w:bCs/>
                <w:color w:val="000000"/>
                <w:spacing w:val="-1"/>
                <w:sz w:val="24"/>
                <w:szCs w:val="24"/>
              </w:rPr>
              <w:t xml:space="preserve"> for the upcoming year</w:t>
            </w:r>
            <w:r w:rsidR="00E25CF6" w:rsidRPr="00FE7D3C">
              <w:rPr>
                <w:bCs/>
                <w:color w:val="000000"/>
                <w:spacing w:val="-1"/>
                <w:sz w:val="24"/>
                <w:szCs w:val="24"/>
              </w:rPr>
              <w:t>.</w:t>
            </w:r>
            <w:r w:rsidR="00E25CF6" w:rsidRPr="00FF6F6E">
              <w:rPr>
                <w:bCs/>
                <w:color w:val="000000"/>
                <w:spacing w:val="-1"/>
                <w:sz w:val="24"/>
                <w:szCs w:val="24"/>
              </w:rPr>
              <w:t xml:space="preserve"> </w:t>
            </w:r>
          </w:p>
        </w:tc>
      </w:tr>
      <w:tr w:rsidR="00E25CF6" w:rsidRPr="0049309C" w14:paraId="40D344D7" w14:textId="77777777" w:rsidTr="007C7803">
        <w:tc>
          <w:tcPr>
            <w:tcW w:w="2268" w:type="dxa"/>
            <w:shd w:val="clear" w:color="auto" w:fill="auto"/>
          </w:tcPr>
          <w:p w14:paraId="6D86D8EE" w14:textId="17EB73BF" w:rsidR="00E25CF6" w:rsidRPr="00016DD6" w:rsidRDefault="00E25CF6" w:rsidP="000B1368">
            <w:pPr>
              <w:spacing w:after="240"/>
              <w:rPr>
                <w:rFonts w:ascii="Calibri" w:hAnsi="Calibri" w:cs="Calibri"/>
              </w:rPr>
            </w:pPr>
            <w:r w:rsidRPr="00016DD6">
              <w:rPr>
                <w:rFonts w:ascii="Calibri" w:hAnsi="Calibri" w:cs="Calibri"/>
              </w:rPr>
              <w:lastRenderedPageBreak/>
              <w:t xml:space="preserve">AA.3.2  </w:t>
            </w:r>
          </w:p>
          <w:p w14:paraId="693D2369"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An adjustment must be made and documented for allowable administrative costs. </w:t>
            </w:r>
          </w:p>
        </w:tc>
        <w:tc>
          <w:tcPr>
            <w:tcW w:w="7337" w:type="dxa"/>
            <w:shd w:val="clear" w:color="auto" w:fill="auto"/>
          </w:tcPr>
          <w:p w14:paraId="69846436" w14:textId="77777777" w:rsidR="00E25CF6" w:rsidRPr="00076BA6" w:rsidRDefault="00E25CF6" w:rsidP="00B237B7">
            <w:pPr>
              <w:shd w:val="clear" w:color="auto" w:fill="FFFFFF"/>
              <w:tabs>
                <w:tab w:val="center" w:pos="4320"/>
                <w:tab w:val="right" w:pos="8640"/>
              </w:tabs>
              <w:spacing w:after="240"/>
            </w:pPr>
            <w:r w:rsidRPr="00B237B7">
              <w:rPr>
                <w:b/>
                <w:bCs/>
                <w:color w:val="000000"/>
                <w:sz w:val="24"/>
                <w:szCs w:val="24"/>
              </w:rPr>
              <w:t xml:space="preserve">Administrative </w:t>
            </w:r>
            <w:r>
              <w:rPr>
                <w:b/>
                <w:bCs/>
                <w:color w:val="000000"/>
                <w:sz w:val="24"/>
                <w:szCs w:val="24"/>
              </w:rPr>
              <w:t>C</w:t>
            </w:r>
            <w:r w:rsidRPr="00B237B7">
              <w:rPr>
                <w:b/>
                <w:bCs/>
                <w:color w:val="000000"/>
                <w:sz w:val="24"/>
                <w:szCs w:val="24"/>
              </w:rPr>
              <w:t xml:space="preserve">ost </w:t>
            </w:r>
            <w:r>
              <w:rPr>
                <w:b/>
                <w:bCs/>
                <w:color w:val="000000"/>
                <w:sz w:val="24"/>
                <w:szCs w:val="24"/>
              </w:rPr>
              <w:t>A</w:t>
            </w:r>
            <w:r w:rsidRPr="00B237B7">
              <w:rPr>
                <w:b/>
                <w:bCs/>
                <w:color w:val="000000"/>
                <w:sz w:val="24"/>
                <w:szCs w:val="24"/>
              </w:rPr>
              <w:t xml:space="preserve">llowance </w:t>
            </w:r>
            <w:r>
              <w:rPr>
                <w:b/>
                <w:bCs/>
                <w:color w:val="000000"/>
                <w:sz w:val="24"/>
                <w:szCs w:val="24"/>
              </w:rPr>
              <w:t>C</w:t>
            </w:r>
            <w:r w:rsidRPr="00B237B7">
              <w:rPr>
                <w:b/>
                <w:bCs/>
                <w:color w:val="000000"/>
                <w:sz w:val="24"/>
                <w:szCs w:val="24"/>
              </w:rPr>
              <w:t>alculations</w:t>
            </w:r>
          </w:p>
          <w:p w14:paraId="17054921" w14:textId="36C9BAA4" w:rsidR="00E25CF6" w:rsidRPr="00B237B7" w:rsidRDefault="00E25CF6" w:rsidP="003311B5">
            <w:pPr>
              <w:shd w:val="clear" w:color="auto" w:fill="FFFFFF"/>
              <w:tabs>
                <w:tab w:val="center" w:pos="4320"/>
                <w:tab w:val="right" w:pos="8640"/>
              </w:tabs>
              <w:spacing w:after="240"/>
              <w:rPr>
                <w:color w:val="000000"/>
                <w:sz w:val="24"/>
                <w:szCs w:val="24"/>
              </w:rPr>
            </w:pPr>
            <w:r w:rsidRPr="00EE76CF">
              <w:rPr>
                <w:color w:val="000000"/>
                <w:sz w:val="24"/>
                <w:szCs w:val="24"/>
              </w:rPr>
              <w:t xml:space="preserve">In addition to claim costs, the State pays the MCOs an administrative margin that is included in </w:t>
            </w:r>
            <w:r w:rsidRPr="004E0867">
              <w:rPr>
                <w:color w:val="000000"/>
                <w:sz w:val="24"/>
                <w:szCs w:val="24"/>
              </w:rPr>
              <w:t>the capitation.  For</w:t>
            </w:r>
            <w:r w:rsidR="00F32A1C" w:rsidRPr="004E0867">
              <w:t xml:space="preserve"> </w:t>
            </w:r>
            <w:r w:rsidR="00F32A1C" w:rsidRPr="004E0867">
              <w:rPr>
                <w:color w:val="000000"/>
                <w:sz w:val="24"/>
                <w:szCs w:val="24"/>
              </w:rPr>
              <w:t>the upcomi</w:t>
            </w:r>
            <w:r w:rsidR="00F32A1C" w:rsidRPr="003311B5">
              <w:rPr>
                <w:color w:val="000000"/>
                <w:sz w:val="24"/>
                <w:szCs w:val="24"/>
              </w:rPr>
              <w:t>ng year</w:t>
            </w:r>
            <w:r w:rsidRPr="003311B5">
              <w:rPr>
                <w:color w:val="000000"/>
                <w:sz w:val="24"/>
                <w:szCs w:val="24"/>
              </w:rPr>
              <w:t xml:space="preserve">, the trend development provided </w:t>
            </w:r>
            <w:r w:rsidR="00FB3B58" w:rsidRPr="003311B5">
              <w:rPr>
                <w:color w:val="000000"/>
                <w:sz w:val="24"/>
                <w:szCs w:val="24"/>
              </w:rPr>
              <w:t xml:space="preserve">for a </w:t>
            </w:r>
            <w:r w:rsidR="003311B5">
              <w:rPr>
                <w:color w:val="000000"/>
                <w:sz w:val="24"/>
                <w:szCs w:val="24"/>
              </w:rPr>
              <w:t>1.</w:t>
            </w:r>
            <w:r w:rsidR="00FB3B58" w:rsidRPr="003311B5">
              <w:rPr>
                <w:color w:val="000000"/>
                <w:sz w:val="24"/>
                <w:szCs w:val="24"/>
              </w:rPr>
              <w:t>5</w:t>
            </w:r>
            <w:r w:rsidRPr="003311B5">
              <w:rPr>
                <w:color w:val="000000"/>
                <w:sz w:val="24"/>
                <w:szCs w:val="24"/>
              </w:rPr>
              <w:t xml:space="preserve">% per year </w:t>
            </w:r>
            <w:r w:rsidRPr="003311B5">
              <w:rPr>
                <w:color w:val="000000"/>
                <w:spacing w:val="-1"/>
                <w:sz w:val="24"/>
                <w:szCs w:val="24"/>
              </w:rPr>
              <w:t xml:space="preserve">increase in </w:t>
            </w:r>
            <w:r w:rsidR="003311B5">
              <w:rPr>
                <w:color w:val="000000"/>
                <w:spacing w:val="-1"/>
                <w:sz w:val="24"/>
                <w:szCs w:val="24"/>
              </w:rPr>
              <w:t xml:space="preserve">nursing facility relocation case management, mental health targeted case management, and </w:t>
            </w:r>
            <w:r w:rsidRPr="003311B5">
              <w:rPr>
                <w:color w:val="000000"/>
                <w:spacing w:val="-1"/>
                <w:sz w:val="24"/>
                <w:szCs w:val="24"/>
              </w:rPr>
              <w:t>administrative costs</w:t>
            </w:r>
            <w:r w:rsidR="003311B5">
              <w:rPr>
                <w:color w:val="000000"/>
                <w:spacing w:val="-1"/>
                <w:sz w:val="24"/>
                <w:szCs w:val="24"/>
              </w:rPr>
              <w:t xml:space="preserve"> together (see page 6 of </w:t>
            </w:r>
            <w:r w:rsidR="002D3BF0" w:rsidRPr="002D3BF0">
              <w:rPr>
                <w:color w:val="000000"/>
                <w:spacing w:val="-1"/>
                <w:sz w:val="24"/>
                <w:szCs w:val="24"/>
              </w:rPr>
              <w:t>Attachment A</w:t>
            </w:r>
            <w:r w:rsidR="003311B5">
              <w:rPr>
                <w:color w:val="000000"/>
                <w:spacing w:val="-1"/>
                <w:sz w:val="24"/>
                <w:szCs w:val="24"/>
              </w:rPr>
              <w:t>)</w:t>
            </w:r>
            <w:r w:rsidRPr="003311B5">
              <w:rPr>
                <w:color w:val="000000"/>
                <w:spacing w:val="-1"/>
                <w:sz w:val="24"/>
                <w:szCs w:val="24"/>
              </w:rPr>
              <w:t>.</w:t>
            </w:r>
          </w:p>
        </w:tc>
      </w:tr>
      <w:tr w:rsidR="00E25CF6" w14:paraId="5257FCBC" w14:textId="77777777" w:rsidTr="007C7803">
        <w:tc>
          <w:tcPr>
            <w:tcW w:w="2268" w:type="dxa"/>
            <w:shd w:val="clear" w:color="auto" w:fill="auto"/>
          </w:tcPr>
          <w:p w14:paraId="0404BB62"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 xml:space="preserve">AA.3.3  </w:t>
            </w:r>
            <w:r>
              <w:rPr>
                <w:rFonts w:ascii="Calibri" w:hAnsi="Calibri" w:cs="Calibri"/>
              </w:rPr>
              <w:t xml:space="preserve">If the eligibility/utilization data are different from the base rate data, or if they change, an adjustment must be made. </w:t>
            </w:r>
          </w:p>
        </w:tc>
        <w:tc>
          <w:tcPr>
            <w:tcW w:w="7337" w:type="dxa"/>
            <w:shd w:val="clear" w:color="auto" w:fill="auto"/>
          </w:tcPr>
          <w:p w14:paraId="449558D2"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 xml:space="preserve">Special </w:t>
            </w:r>
            <w:r>
              <w:rPr>
                <w:b/>
                <w:bCs/>
                <w:color w:val="000000"/>
                <w:sz w:val="24"/>
                <w:szCs w:val="24"/>
              </w:rPr>
              <w:t>P</w:t>
            </w:r>
            <w:r w:rsidRPr="00B237B7">
              <w:rPr>
                <w:b/>
                <w:bCs/>
                <w:color w:val="000000"/>
                <w:sz w:val="24"/>
                <w:szCs w:val="24"/>
              </w:rPr>
              <w:t xml:space="preserve">opulations </w:t>
            </w:r>
            <w:r>
              <w:rPr>
                <w:b/>
                <w:bCs/>
                <w:color w:val="000000"/>
                <w:sz w:val="24"/>
                <w:szCs w:val="24"/>
              </w:rPr>
              <w:t>A</w:t>
            </w:r>
            <w:r w:rsidRPr="00B237B7">
              <w:rPr>
                <w:b/>
                <w:bCs/>
                <w:color w:val="000000"/>
                <w:sz w:val="24"/>
                <w:szCs w:val="24"/>
              </w:rPr>
              <w:t>djustments</w:t>
            </w:r>
          </w:p>
          <w:p w14:paraId="344F3641" w14:textId="2FCDAFBC" w:rsidR="004D2C2F" w:rsidRDefault="004D2C2F" w:rsidP="00921FD5">
            <w:pPr>
              <w:shd w:val="clear" w:color="auto" w:fill="FFFFFF"/>
              <w:tabs>
                <w:tab w:val="left" w:pos="1462"/>
                <w:tab w:val="center" w:pos="4320"/>
                <w:tab w:val="right" w:pos="8640"/>
              </w:tabs>
              <w:spacing w:after="240"/>
              <w:rPr>
                <w:color w:val="000000"/>
                <w:sz w:val="24"/>
                <w:szCs w:val="24"/>
              </w:rPr>
            </w:pPr>
            <w:r w:rsidRPr="004D2C2F">
              <w:rPr>
                <w:color w:val="000000"/>
                <w:sz w:val="24"/>
                <w:szCs w:val="24"/>
              </w:rPr>
              <w:t>Since past MCO experience is used to determine the rates, any special population adjustments made historically would be reflected in th</w:t>
            </w:r>
            <w:r w:rsidR="00807654">
              <w:rPr>
                <w:color w:val="000000"/>
                <w:sz w:val="24"/>
                <w:szCs w:val="24"/>
              </w:rPr>
              <w:t>at experience</w:t>
            </w:r>
            <w:r w:rsidR="00047A55">
              <w:rPr>
                <w:color w:val="000000"/>
                <w:sz w:val="24"/>
                <w:szCs w:val="24"/>
              </w:rPr>
              <w:t>.</w:t>
            </w:r>
          </w:p>
          <w:p w14:paraId="307D4F4D" w14:textId="479D2A95" w:rsidR="00E25CF6" w:rsidRPr="00B237B7" w:rsidRDefault="00E25CF6" w:rsidP="00921FD5">
            <w:pPr>
              <w:shd w:val="clear" w:color="auto" w:fill="FFFFFF"/>
              <w:tabs>
                <w:tab w:val="left" w:pos="1462"/>
                <w:tab w:val="center" w:pos="4320"/>
                <w:tab w:val="right" w:pos="8640"/>
              </w:tabs>
              <w:spacing w:after="240"/>
              <w:rPr>
                <w:b/>
                <w:bCs/>
                <w:color w:val="000000"/>
                <w:spacing w:val="-1"/>
                <w:sz w:val="24"/>
                <w:szCs w:val="24"/>
              </w:rPr>
            </w:pPr>
            <w:r w:rsidRPr="00162BE6">
              <w:rPr>
                <w:color w:val="000000"/>
                <w:sz w:val="24"/>
                <w:szCs w:val="24"/>
              </w:rPr>
              <w:t>For any changes made during the contract year to eligibility rules affecting rates, an amendment to the rates will be developed and submitted to CMS for approval.</w:t>
            </w:r>
            <w:r>
              <w:rPr>
                <w:color w:val="000000"/>
                <w:sz w:val="24"/>
                <w:szCs w:val="24"/>
              </w:rPr>
              <w:t xml:space="preserve">  </w:t>
            </w:r>
          </w:p>
        </w:tc>
      </w:tr>
      <w:tr w:rsidR="00E25CF6" w14:paraId="3006E021" w14:textId="77777777" w:rsidTr="007C7803">
        <w:tc>
          <w:tcPr>
            <w:tcW w:w="2268" w:type="dxa"/>
            <w:shd w:val="clear" w:color="auto" w:fill="auto"/>
          </w:tcPr>
          <w:p w14:paraId="1487A83E"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 xml:space="preserve">AA.3.4 </w:t>
            </w:r>
            <w:r>
              <w:rPr>
                <w:rFonts w:ascii="Calibri" w:hAnsi="Calibri" w:cs="Calibri"/>
              </w:rPr>
              <w:t xml:space="preserve">If certain eligibility periods (e.g. newborn month) are in the base but not in the rates, or vice versa, an adjustment must be made. </w:t>
            </w:r>
          </w:p>
        </w:tc>
        <w:tc>
          <w:tcPr>
            <w:tcW w:w="7337" w:type="dxa"/>
            <w:shd w:val="clear" w:color="auto" w:fill="auto"/>
          </w:tcPr>
          <w:p w14:paraId="334E143D" w14:textId="77777777" w:rsidR="00E25CF6" w:rsidRDefault="00E25CF6" w:rsidP="00B237B7">
            <w:pPr>
              <w:shd w:val="clear" w:color="auto" w:fill="FFFFFF"/>
              <w:tabs>
                <w:tab w:val="left" w:pos="1454"/>
                <w:tab w:val="center" w:pos="4320"/>
                <w:tab w:val="right" w:pos="8640"/>
              </w:tabs>
              <w:spacing w:after="240"/>
            </w:pPr>
            <w:r w:rsidRPr="00B237B7">
              <w:rPr>
                <w:b/>
                <w:bCs/>
                <w:color w:val="000000"/>
                <w:spacing w:val="-1"/>
                <w:sz w:val="24"/>
                <w:szCs w:val="24"/>
              </w:rPr>
              <w:t>Eligibility Adjustments</w:t>
            </w:r>
          </w:p>
          <w:p w14:paraId="0AC7DA1A" w14:textId="0DDF2E01" w:rsidR="00E25CF6" w:rsidRPr="00B237B7" w:rsidRDefault="004D2C2F" w:rsidP="004D2C2F">
            <w:pPr>
              <w:shd w:val="clear" w:color="auto" w:fill="FFFFFF"/>
              <w:tabs>
                <w:tab w:val="left" w:pos="1462"/>
                <w:tab w:val="center" w:pos="4320"/>
                <w:tab w:val="right" w:pos="8640"/>
              </w:tabs>
              <w:spacing w:after="240"/>
              <w:rPr>
                <w:b/>
                <w:bCs/>
                <w:color w:val="000000"/>
                <w:spacing w:val="-1"/>
                <w:sz w:val="24"/>
                <w:szCs w:val="24"/>
              </w:rPr>
            </w:pPr>
            <w:r w:rsidRPr="004D2C2F">
              <w:rPr>
                <w:color w:val="000000"/>
                <w:spacing w:val="-2"/>
                <w:sz w:val="24"/>
                <w:szCs w:val="24"/>
              </w:rPr>
              <w:t>Since past MCO experience is used to determine the rates, eligibility adjustments made historically would be reflected in the MCO’s cost structure</w:t>
            </w:r>
            <w:r>
              <w:rPr>
                <w:color w:val="000000"/>
                <w:spacing w:val="-2"/>
                <w:sz w:val="24"/>
                <w:szCs w:val="24"/>
              </w:rPr>
              <w:t xml:space="preserve">. </w:t>
            </w:r>
            <w:r w:rsidR="00E25CF6" w:rsidRPr="00B237B7">
              <w:rPr>
                <w:color w:val="000000"/>
                <w:spacing w:val="-2"/>
                <w:sz w:val="24"/>
                <w:szCs w:val="24"/>
              </w:rPr>
              <w:t xml:space="preserve">The State does not anticipate any changes in the eligibility criteria for seniors </w:t>
            </w:r>
            <w:r w:rsidR="00E25CF6" w:rsidRPr="00B237B7">
              <w:rPr>
                <w:color w:val="000000"/>
                <w:sz w:val="24"/>
                <w:szCs w:val="24"/>
              </w:rPr>
              <w:t xml:space="preserve">required to enroll in MSC+ during the </w:t>
            </w:r>
            <w:r w:rsidR="00F32A1C" w:rsidRPr="00F32A1C">
              <w:rPr>
                <w:color w:val="000000"/>
                <w:sz w:val="24"/>
                <w:szCs w:val="24"/>
              </w:rPr>
              <w:t xml:space="preserve">upcoming year </w:t>
            </w:r>
            <w:r w:rsidR="00E25CF6" w:rsidRPr="00B237B7">
              <w:rPr>
                <w:color w:val="000000"/>
                <w:sz w:val="24"/>
                <w:szCs w:val="24"/>
              </w:rPr>
              <w:t>contract period, but if changes that affect rates are legislated, a rate amendment will be developed and submitted to CMS for approval.</w:t>
            </w:r>
          </w:p>
        </w:tc>
      </w:tr>
      <w:tr w:rsidR="00E25CF6" w14:paraId="22BE2035" w14:textId="77777777" w:rsidTr="007C7803">
        <w:tc>
          <w:tcPr>
            <w:tcW w:w="2268" w:type="dxa"/>
            <w:shd w:val="clear" w:color="auto" w:fill="auto"/>
          </w:tcPr>
          <w:p w14:paraId="12D10CCF" w14:textId="77777777" w:rsidR="00E25CF6" w:rsidRDefault="00E25CF6" w:rsidP="000B1368">
            <w:pPr>
              <w:spacing w:after="240"/>
              <w:rPr>
                <w:rFonts w:ascii="Calibri" w:hAnsi="Calibri" w:cs="Calibri"/>
              </w:rPr>
            </w:pPr>
            <w:r w:rsidRPr="00016DD6">
              <w:rPr>
                <w:rFonts w:ascii="Calibri" w:hAnsi="Calibri" w:cs="Calibri"/>
              </w:rPr>
              <w:t xml:space="preserve">AA.3.5  </w:t>
            </w:r>
          </w:p>
          <w:p w14:paraId="78E52B3A" w14:textId="77777777" w:rsidR="00E25CF6" w:rsidRPr="00B237B7" w:rsidRDefault="00E25CF6" w:rsidP="004D4FA3">
            <w:pPr>
              <w:tabs>
                <w:tab w:val="center" w:pos="4320"/>
                <w:tab w:val="right" w:pos="8640"/>
              </w:tabs>
              <w:spacing w:after="240"/>
              <w:rPr>
                <w:rFonts w:ascii="Calibri" w:hAnsi="Calibri" w:cs="Calibri"/>
              </w:rPr>
            </w:pPr>
            <w:r>
              <w:rPr>
                <w:rFonts w:ascii="Calibri" w:hAnsi="Calibri" w:cs="Calibri"/>
              </w:rPr>
              <w:t xml:space="preserve">DSH payments may not be made in the rates.  The State must pay DSH directly to the DSH facility. </w:t>
            </w:r>
          </w:p>
        </w:tc>
        <w:tc>
          <w:tcPr>
            <w:tcW w:w="7337" w:type="dxa"/>
            <w:shd w:val="clear" w:color="auto" w:fill="auto"/>
          </w:tcPr>
          <w:p w14:paraId="0AB83B99" w14:textId="77777777" w:rsidR="00E25CF6" w:rsidRDefault="00E25CF6" w:rsidP="00B237B7">
            <w:pPr>
              <w:shd w:val="clear" w:color="auto" w:fill="FFFFFF"/>
              <w:tabs>
                <w:tab w:val="left" w:pos="1447"/>
                <w:tab w:val="center" w:pos="4320"/>
                <w:tab w:val="right" w:pos="8640"/>
              </w:tabs>
              <w:spacing w:after="240"/>
            </w:pPr>
            <w:r w:rsidRPr="00B237B7">
              <w:rPr>
                <w:b/>
                <w:bCs/>
                <w:color w:val="000000"/>
                <w:spacing w:val="-1"/>
                <w:sz w:val="24"/>
                <w:szCs w:val="24"/>
              </w:rPr>
              <w:t>DSH Payments</w:t>
            </w:r>
          </w:p>
          <w:p w14:paraId="5C2F6EE5" w14:textId="25FAF71A" w:rsidR="00610946" w:rsidRPr="00610946" w:rsidRDefault="00E25CF6" w:rsidP="004E0867">
            <w:pPr>
              <w:shd w:val="clear" w:color="auto" w:fill="FFFFFF"/>
              <w:tabs>
                <w:tab w:val="center" w:pos="4320"/>
                <w:tab w:val="right" w:pos="8640"/>
              </w:tabs>
              <w:spacing w:after="240"/>
              <w:rPr>
                <w:color w:val="000000"/>
                <w:sz w:val="24"/>
                <w:szCs w:val="24"/>
              </w:rPr>
            </w:pPr>
            <w:r w:rsidRPr="00B237B7">
              <w:rPr>
                <w:color w:val="000000"/>
                <w:spacing w:val="-1"/>
                <w:sz w:val="24"/>
                <w:szCs w:val="24"/>
              </w:rPr>
              <w:t xml:space="preserve">The State does not make DSH payment to hospitals through the capitation rates.  </w:t>
            </w:r>
            <w:r w:rsidRPr="00B237B7">
              <w:rPr>
                <w:color w:val="000000"/>
                <w:sz w:val="24"/>
                <w:szCs w:val="24"/>
              </w:rPr>
              <w:t xml:space="preserve">Capitation payments are determined by actual aggregate MCO financial </w:t>
            </w:r>
            <w:r w:rsidRPr="00B237B7">
              <w:rPr>
                <w:color w:val="000000"/>
                <w:spacing w:val="-1"/>
                <w:sz w:val="24"/>
                <w:szCs w:val="24"/>
              </w:rPr>
              <w:t xml:space="preserve">experience.  If however, an MCO, in its contracting with providers, makes higher </w:t>
            </w:r>
            <w:r w:rsidRPr="00B237B7">
              <w:rPr>
                <w:color w:val="000000"/>
                <w:sz w:val="24"/>
                <w:szCs w:val="24"/>
              </w:rPr>
              <w:t>payments to higher cost hospitals, this would be reflected in their financial experience.</w:t>
            </w:r>
          </w:p>
        </w:tc>
      </w:tr>
      <w:tr w:rsidR="00E25CF6" w14:paraId="18F3FCEA" w14:textId="77777777" w:rsidTr="007C7803">
        <w:tc>
          <w:tcPr>
            <w:tcW w:w="2268" w:type="dxa"/>
            <w:shd w:val="clear" w:color="auto" w:fill="auto"/>
          </w:tcPr>
          <w:p w14:paraId="72E662FF"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 xml:space="preserve">AA.3.6. </w:t>
            </w:r>
            <w:r>
              <w:rPr>
                <w:rFonts w:ascii="Calibri" w:hAnsi="Calibri" w:cs="Calibri"/>
              </w:rPr>
              <w:t xml:space="preserve">The contract must specify activities the MCO must perform for TPL. Rates must be adjusted for TPL. </w:t>
            </w:r>
          </w:p>
        </w:tc>
        <w:tc>
          <w:tcPr>
            <w:tcW w:w="7337" w:type="dxa"/>
            <w:shd w:val="clear" w:color="auto" w:fill="auto"/>
          </w:tcPr>
          <w:p w14:paraId="0B70D75D"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Third Party Liability (TPL)</w:t>
            </w:r>
          </w:p>
          <w:p w14:paraId="0302AEAE" w14:textId="63CA6342" w:rsidR="00E25CF6" w:rsidRPr="00B237B7" w:rsidRDefault="00E25CF6" w:rsidP="004D2C2F">
            <w:pPr>
              <w:shd w:val="clear" w:color="auto" w:fill="FFFFFF"/>
              <w:tabs>
                <w:tab w:val="left" w:pos="1462"/>
                <w:tab w:val="center" w:pos="4320"/>
                <w:tab w:val="right" w:pos="8640"/>
              </w:tabs>
              <w:spacing w:after="240"/>
              <w:rPr>
                <w:b/>
                <w:bCs/>
                <w:color w:val="000000"/>
                <w:spacing w:val="-1"/>
                <w:sz w:val="24"/>
                <w:szCs w:val="24"/>
              </w:rPr>
            </w:pPr>
            <w:r w:rsidRPr="00B237B7">
              <w:rPr>
                <w:color w:val="000000"/>
                <w:sz w:val="24"/>
                <w:szCs w:val="24"/>
              </w:rPr>
              <w:t xml:space="preserve">The trend adjustment uses revenue net of TPL to determine the appropriate increase in medical expenses incurred by the MCOs.  The trend adjustment </w:t>
            </w:r>
            <w:r w:rsidRPr="00B237B7">
              <w:rPr>
                <w:color w:val="000000"/>
                <w:spacing w:val="-1"/>
                <w:sz w:val="24"/>
                <w:szCs w:val="24"/>
              </w:rPr>
              <w:t xml:space="preserve">attempts to estimate what the true increase in cost and utilization is each year.  </w:t>
            </w:r>
            <w:r w:rsidRPr="00B237B7">
              <w:rPr>
                <w:color w:val="000000"/>
                <w:sz w:val="24"/>
                <w:szCs w:val="24"/>
              </w:rPr>
              <w:t xml:space="preserve">  </w:t>
            </w:r>
          </w:p>
        </w:tc>
      </w:tr>
      <w:tr w:rsidR="00E25CF6" w14:paraId="62251AE9" w14:textId="77777777" w:rsidTr="007C7803">
        <w:tc>
          <w:tcPr>
            <w:tcW w:w="2268" w:type="dxa"/>
            <w:shd w:val="clear" w:color="auto" w:fill="auto"/>
          </w:tcPr>
          <w:p w14:paraId="633A5D39" w14:textId="77777777" w:rsidR="00E25CF6" w:rsidRPr="00B237B7" w:rsidRDefault="00E25CF6" w:rsidP="00B237B7">
            <w:pPr>
              <w:tabs>
                <w:tab w:val="center" w:pos="4320"/>
                <w:tab w:val="right" w:pos="8640"/>
              </w:tabs>
              <w:spacing w:after="240"/>
              <w:rPr>
                <w:rFonts w:ascii="Calibri" w:hAnsi="Calibri" w:cs="Calibri"/>
              </w:rPr>
            </w:pPr>
            <w:r w:rsidRPr="00016DD6">
              <w:rPr>
                <w:rFonts w:ascii="Calibri" w:hAnsi="Calibri" w:cs="Calibri"/>
              </w:rPr>
              <w:t xml:space="preserve">AA.3.7.  </w:t>
            </w:r>
            <w:r>
              <w:rPr>
                <w:rFonts w:ascii="Calibri" w:hAnsi="Calibri" w:cs="Calibri"/>
              </w:rPr>
              <w:t xml:space="preserve">If the base data includes or does not include cost-sharing, the rates developed must match or an adjustment </w:t>
            </w:r>
            <w:r>
              <w:rPr>
                <w:rFonts w:ascii="Calibri" w:hAnsi="Calibri" w:cs="Calibri"/>
              </w:rPr>
              <w:lastRenderedPageBreak/>
              <w:t xml:space="preserve">made.  </w:t>
            </w:r>
          </w:p>
        </w:tc>
        <w:tc>
          <w:tcPr>
            <w:tcW w:w="7337" w:type="dxa"/>
            <w:shd w:val="clear" w:color="auto" w:fill="auto"/>
          </w:tcPr>
          <w:p w14:paraId="511737BC"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lastRenderedPageBreak/>
              <w:t>Copayments, Coinsurance and Deductibles in Capitated Rates</w:t>
            </w:r>
          </w:p>
          <w:p w14:paraId="4C301EC3" w14:textId="092FDE7E" w:rsidR="004D2C2F" w:rsidRDefault="004D2C2F" w:rsidP="003311B5">
            <w:pPr>
              <w:shd w:val="clear" w:color="auto" w:fill="FFFFFF"/>
              <w:tabs>
                <w:tab w:val="left" w:pos="1462"/>
                <w:tab w:val="center" w:pos="4320"/>
                <w:tab w:val="right" w:pos="8640"/>
              </w:tabs>
              <w:spacing w:after="240"/>
              <w:rPr>
                <w:color w:val="000000"/>
                <w:sz w:val="24"/>
                <w:szCs w:val="24"/>
              </w:rPr>
            </w:pPr>
            <w:r>
              <w:rPr>
                <w:color w:val="000000"/>
                <w:spacing w:val="-1"/>
                <w:sz w:val="24"/>
                <w:szCs w:val="24"/>
              </w:rPr>
              <w:t xml:space="preserve">The </w:t>
            </w:r>
            <w:r w:rsidR="00E25CF6" w:rsidRPr="00B237B7">
              <w:rPr>
                <w:color w:val="000000"/>
                <w:spacing w:val="-1"/>
                <w:sz w:val="24"/>
                <w:szCs w:val="24"/>
              </w:rPr>
              <w:t>State reduce</w:t>
            </w:r>
            <w:r>
              <w:rPr>
                <w:color w:val="000000"/>
                <w:spacing w:val="-1"/>
                <w:sz w:val="24"/>
                <w:szCs w:val="24"/>
              </w:rPr>
              <w:t>s</w:t>
            </w:r>
            <w:r w:rsidR="00E25CF6" w:rsidRPr="00B237B7">
              <w:rPr>
                <w:color w:val="000000"/>
                <w:spacing w:val="-1"/>
                <w:sz w:val="24"/>
                <w:szCs w:val="24"/>
              </w:rPr>
              <w:t xml:space="preserve"> the basic care</w:t>
            </w:r>
            <w:r w:rsidR="00E25CF6">
              <w:rPr>
                <w:color w:val="000000"/>
                <w:spacing w:val="-1"/>
                <w:sz w:val="24"/>
                <w:szCs w:val="24"/>
              </w:rPr>
              <w:t xml:space="preserve"> </w:t>
            </w:r>
            <w:r w:rsidR="00E25CF6" w:rsidRPr="00B237B7">
              <w:rPr>
                <w:color w:val="000000"/>
                <w:spacing w:val="-1"/>
                <w:sz w:val="24"/>
                <w:szCs w:val="24"/>
              </w:rPr>
              <w:t xml:space="preserve">rate component to reflect the amount of </w:t>
            </w:r>
            <w:r w:rsidR="002378C1">
              <w:rPr>
                <w:color w:val="000000"/>
                <w:sz w:val="24"/>
                <w:szCs w:val="24"/>
              </w:rPr>
              <w:t>cost-sharing</w:t>
            </w:r>
            <w:r w:rsidR="00E25CF6" w:rsidRPr="00B237B7">
              <w:rPr>
                <w:color w:val="000000"/>
                <w:sz w:val="24"/>
                <w:szCs w:val="24"/>
              </w:rPr>
              <w:t xml:space="preserve"> that enrollees </w:t>
            </w:r>
            <w:r w:rsidR="00E25CF6" w:rsidRPr="003311B5">
              <w:rPr>
                <w:color w:val="000000"/>
                <w:sz w:val="24"/>
                <w:szCs w:val="24"/>
              </w:rPr>
              <w:t>will make directly to providers.  This would reduce the MCO expenditures.  The trend analysis for</w:t>
            </w:r>
            <w:r w:rsidR="00F32A1C" w:rsidRPr="003311B5">
              <w:t xml:space="preserve"> </w:t>
            </w:r>
            <w:r w:rsidR="00F32A1C" w:rsidRPr="003311B5">
              <w:rPr>
                <w:color w:val="000000"/>
                <w:sz w:val="24"/>
                <w:szCs w:val="24"/>
              </w:rPr>
              <w:t>the upcoming year</w:t>
            </w:r>
            <w:r w:rsidR="00E25CF6" w:rsidRPr="003311B5">
              <w:rPr>
                <w:color w:val="000000"/>
                <w:sz w:val="24"/>
                <w:szCs w:val="24"/>
              </w:rPr>
              <w:t xml:space="preserve">, </w:t>
            </w:r>
            <w:r w:rsidR="00E25CF6" w:rsidRPr="003311B5">
              <w:rPr>
                <w:color w:val="000000"/>
                <w:sz w:val="24"/>
                <w:szCs w:val="24"/>
              </w:rPr>
              <w:lastRenderedPageBreak/>
              <w:t>which used 201</w:t>
            </w:r>
            <w:r w:rsidR="003311B5" w:rsidRPr="003311B5">
              <w:rPr>
                <w:color w:val="000000"/>
                <w:sz w:val="24"/>
                <w:szCs w:val="24"/>
              </w:rPr>
              <w:t>3</w:t>
            </w:r>
            <w:r w:rsidR="00E25CF6" w:rsidRPr="003311B5">
              <w:rPr>
                <w:color w:val="000000"/>
                <w:sz w:val="24"/>
                <w:szCs w:val="24"/>
              </w:rPr>
              <w:t xml:space="preserve"> MCO expenditure data, would thus take into account the effect of </w:t>
            </w:r>
            <w:r w:rsidR="00F32A1C" w:rsidRPr="003311B5">
              <w:rPr>
                <w:color w:val="000000"/>
                <w:sz w:val="24"/>
                <w:szCs w:val="24"/>
              </w:rPr>
              <w:t>cost</w:t>
            </w:r>
            <w:r w:rsidR="00F32A1C">
              <w:rPr>
                <w:color w:val="000000"/>
                <w:sz w:val="24"/>
                <w:szCs w:val="24"/>
              </w:rPr>
              <w:t xml:space="preserve">-sharing </w:t>
            </w:r>
            <w:r w:rsidR="00E25CF6" w:rsidRPr="00B237B7">
              <w:rPr>
                <w:color w:val="000000"/>
                <w:sz w:val="24"/>
                <w:szCs w:val="24"/>
              </w:rPr>
              <w:t xml:space="preserve">on MCO expenditures.  </w:t>
            </w:r>
          </w:p>
          <w:p w14:paraId="02C213F2" w14:textId="573F7FDE" w:rsidR="00716462" w:rsidRPr="00B237B7" w:rsidRDefault="00E25CF6" w:rsidP="00047A55">
            <w:pPr>
              <w:shd w:val="clear" w:color="auto" w:fill="FFFFFF"/>
              <w:tabs>
                <w:tab w:val="left" w:pos="1462"/>
                <w:tab w:val="center" w:pos="4320"/>
                <w:tab w:val="right" w:pos="8640"/>
              </w:tabs>
              <w:spacing w:after="240"/>
              <w:rPr>
                <w:b/>
                <w:bCs/>
                <w:color w:val="000000"/>
                <w:spacing w:val="-1"/>
                <w:sz w:val="24"/>
                <w:szCs w:val="24"/>
              </w:rPr>
            </w:pPr>
            <w:r w:rsidRPr="00B237B7">
              <w:rPr>
                <w:color w:val="000000"/>
                <w:sz w:val="24"/>
                <w:szCs w:val="24"/>
              </w:rPr>
              <w:t xml:space="preserve">The MCOs offering MSHO have elected to waive collection of </w:t>
            </w:r>
            <w:r w:rsidR="002378C1">
              <w:rPr>
                <w:color w:val="000000"/>
                <w:sz w:val="24"/>
                <w:szCs w:val="24"/>
              </w:rPr>
              <w:t xml:space="preserve">cost-sharing </w:t>
            </w:r>
            <w:r w:rsidRPr="00B237B7">
              <w:rPr>
                <w:color w:val="000000"/>
                <w:sz w:val="24"/>
                <w:szCs w:val="24"/>
              </w:rPr>
              <w:t xml:space="preserve">under MSHO.  Since few </w:t>
            </w:r>
            <w:r w:rsidR="002378C1">
              <w:rPr>
                <w:color w:val="000000"/>
                <w:sz w:val="24"/>
                <w:szCs w:val="24"/>
              </w:rPr>
              <w:t xml:space="preserve">cost-sharing payments </w:t>
            </w:r>
            <w:r w:rsidRPr="00B237B7">
              <w:rPr>
                <w:color w:val="000000"/>
                <w:sz w:val="24"/>
                <w:szCs w:val="24"/>
              </w:rPr>
              <w:t xml:space="preserve">were applicable to </w:t>
            </w:r>
            <w:r w:rsidR="00047A55">
              <w:rPr>
                <w:color w:val="000000"/>
                <w:sz w:val="24"/>
                <w:szCs w:val="24"/>
              </w:rPr>
              <w:t>d</w:t>
            </w:r>
            <w:r w:rsidRPr="00B237B7">
              <w:rPr>
                <w:color w:val="000000"/>
                <w:sz w:val="24"/>
                <w:szCs w:val="24"/>
              </w:rPr>
              <w:t>ual eligible persons and to people in institutions, and most MSHO enrollees are dually eligible and high numbers are in institutions</w:t>
            </w:r>
            <w:r w:rsidR="00C31D84">
              <w:rPr>
                <w:color w:val="000000"/>
                <w:sz w:val="24"/>
                <w:szCs w:val="24"/>
              </w:rPr>
              <w:t>,</w:t>
            </w:r>
            <w:r w:rsidRPr="00B237B7">
              <w:rPr>
                <w:color w:val="000000"/>
                <w:sz w:val="24"/>
                <w:szCs w:val="24"/>
              </w:rPr>
              <w:t xml:space="preserve"> the value of this deduction is minimal</w:t>
            </w:r>
            <w:r w:rsidR="00F32A1C">
              <w:rPr>
                <w:color w:val="000000"/>
                <w:sz w:val="24"/>
                <w:szCs w:val="24"/>
              </w:rPr>
              <w:t xml:space="preserve"> but the MCOs are required to report it</w:t>
            </w:r>
            <w:r w:rsidRPr="00B237B7">
              <w:rPr>
                <w:color w:val="000000"/>
                <w:sz w:val="24"/>
                <w:szCs w:val="24"/>
              </w:rPr>
              <w:t xml:space="preserve">.  The value of </w:t>
            </w:r>
            <w:r w:rsidR="002378C1">
              <w:rPr>
                <w:color w:val="000000"/>
                <w:sz w:val="24"/>
                <w:szCs w:val="24"/>
              </w:rPr>
              <w:t xml:space="preserve">cost-sharing </w:t>
            </w:r>
            <w:r w:rsidRPr="00B237B7">
              <w:rPr>
                <w:color w:val="000000"/>
                <w:sz w:val="24"/>
                <w:szCs w:val="24"/>
              </w:rPr>
              <w:t>was exclud</w:t>
            </w:r>
            <w:r w:rsidR="00F32A1C">
              <w:rPr>
                <w:color w:val="000000"/>
                <w:sz w:val="24"/>
                <w:szCs w:val="24"/>
              </w:rPr>
              <w:t>ed from the development of the B</w:t>
            </w:r>
            <w:r w:rsidRPr="00B237B7">
              <w:rPr>
                <w:color w:val="000000"/>
                <w:sz w:val="24"/>
                <w:szCs w:val="24"/>
              </w:rPr>
              <w:t xml:space="preserve">asic </w:t>
            </w:r>
            <w:r w:rsidR="00F32A1C">
              <w:rPr>
                <w:color w:val="000000"/>
                <w:sz w:val="24"/>
                <w:szCs w:val="24"/>
              </w:rPr>
              <w:t>C</w:t>
            </w:r>
            <w:r w:rsidRPr="00B237B7">
              <w:rPr>
                <w:color w:val="000000"/>
                <w:sz w:val="24"/>
                <w:szCs w:val="24"/>
              </w:rPr>
              <w:t>are rates</w:t>
            </w:r>
            <w:r w:rsidR="002378C1">
              <w:rPr>
                <w:color w:val="000000"/>
                <w:sz w:val="24"/>
                <w:szCs w:val="24"/>
              </w:rPr>
              <w:t xml:space="preserve"> (see </w:t>
            </w:r>
            <w:r w:rsidR="002D3BF0" w:rsidRPr="002D3BF0">
              <w:rPr>
                <w:color w:val="000000"/>
                <w:sz w:val="24"/>
                <w:szCs w:val="24"/>
              </w:rPr>
              <w:t>Attachment A</w:t>
            </w:r>
            <w:r w:rsidR="002378C1">
              <w:rPr>
                <w:color w:val="000000"/>
                <w:sz w:val="24"/>
                <w:szCs w:val="24"/>
              </w:rPr>
              <w:t>, page 4)</w:t>
            </w:r>
            <w:r w:rsidRPr="00B237B7">
              <w:rPr>
                <w:color w:val="000000"/>
                <w:sz w:val="24"/>
                <w:szCs w:val="24"/>
              </w:rPr>
              <w:t>.</w:t>
            </w:r>
          </w:p>
        </w:tc>
      </w:tr>
      <w:tr w:rsidR="00E25CF6" w14:paraId="32E58EF8" w14:textId="77777777" w:rsidTr="007C7803">
        <w:tc>
          <w:tcPr>
            <w:tcW w:w="2268" w:type="dxa"/>
            <w:shd w:val="clear" w:color="auto" w:fill="auto"/>
          </w:tcPr>
          <w:p w14:paraId="4486532E" w14:textId="77777777" w:rsidR="00E25CF6" w:rsidRPr="00016DD6" w:rsidRDefault="00E25CF6" w:rsidP="000B1368">
            <w:pPr>
              <w:spacing w:after="240"/>
              <w:rPr>
                <w:rFonts w:ascii="Calibri" w:hAnsi="Calibri" w:cs="Calibri"/>
              </w:rPr>
            </w:pPr>
            <w:r w:rsidRPr="00016DD6">
              <w:rPr>
                <w:rFonts w:ascii="Calibri" w:hAnsi="Calibri" w:cs="Calibri"/>
              </w:rPr>
              <w:lastRenderedPageBreak/>
              <w:t xml:space="preserve">AA.3.8. </w:t>
            </w:r>
          </w:p>
          <w:p w14:paraId="7031F32F"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Where the State makes GME payments directly to providers, the MCO rates must not also include GME.  </w:t>
            </w:r>
          </w:p>
        </w:tc>
        <w:tc>
          <w:tcPr>
            <w:tcW w:w="7337" w:type="dxa"/>
            <w:shd w:val="clear" w:color="auto" w:fill="auto"/>
          </w:tcPr>
          <w:p w14:paraId="474B4C5B" w14:textId="77777777" w:rsidR="00E25CF6" w:rsidRDefault="00E25CF6" w:rsidP="00B237B7">
            <w:pPr>
              <w:shd w:val="clear" w:color="auto" w:fill="FFFFFF"/>
              <w:tabs>
                <w:tab w:val="left" w:pos="1454"/>
                <w:tab w:val="center" w:pos="4320"/>
                <w:tab w:val="right" w:pos="8640"/>
              </w:tabs>
              <w:spacing w:after="240"/>
            </w:pPr>
            <w:r w:rsidRPr="00B237B7">
              <w:rPr>
                <w:b/>
                <w:bCs/>
                <w:color w:val="000000"/>
                <w:sz w:val="24"/>
                <w:szCs w:val="24"/>
              </w:rPr>
              <w:t>Graduate Medical Education (GME)</w:t>
            </w:r>
          </w:p>
          <w:p w14:paraId="29F4E442" w14:textId="2391E8B6" w:rsidR="00E25CF6" w:rsidRPr="009E1EB7" w:rsidRDefault="00E25CF6" w:rsidP="004E0867">
            <w:pPr>
              <w:shd w:val="clear" w:color="auto" w:fill="FFFFFF"/>
              <w:tabs>
                <w:tab w:val="center" w:pos="4320"/>
                <w:tab w:val="right" w:pos="8640"/>
              </w:tabs>
              <w:spacing w:after="240"/>
              <w:rPr>
                <w:color w:val="000000"/>
                <w:sz w:val="24"/>
                <w:szCs w:val="24"/>
              </w:rPr>
            </w:pPr>
            <w:r w:rsidRPr="00B237B7">
              <w:rPr>
                <w:sz w:val="24"/>
                <w:szCs w:val="24"/>
              </w:rPr>
              <w:t xml:space="preserve">Under the terms of Minnesota’s § 1115 PMAP+ demonstration (Prepaid Medical Assistance Project Plus, No. 11-W-0039/5) </w:t>
            </w:r>
            <w:r w:rsidR="00533599">
              <w:rPr>
                <w:sz w:val="24"/>
                <w:szCs w:val="24"/>
              </w:rPr>
              <w:t xml:space="preserve">extension granted in December 2013, </w:t>
            </w:r>
            <w:r w:rsidRPr="00B237B7">
              <w:rPr>
                <w:sz w:val="24"/>
                <w:szCs w:val="24"/>
              </w:rPr>
              <w:t xml:space="preserve">federal financial participation for GME spending will be limited to the amount claimed for FFP under the PMAP+ </w:t>
            </w:r>
            <w:r w:rsidRPr="00FF6F6E">
              <w:rPr>
                <w:sz w:val="24"/>
                <w:szCs w:val="24"/>
              </w:rPr>
              <w:t xml:space="preserve">demonstration as Minnesota’s Medical Education and Research Cost (MERC) expenditures for SFY 2009.  This aggregate limit applies to </w:t>
            </w:r>
            <w:r w:rsidR="00F86A7F">
              <w:rPr>
                <w:sz w:val="24"/>
                <w:szCs w:val="24"/>
              </w:rPr>
              <w:t>MERC (</w:t>
            </w:r>
            <w:r w:rsidRPr="00FF6F6E">
              <w:rPr>
                <w:sz w:val="24"/>
                <w:szCs w:val="24"/>
              </w:rPr>
              <w:t>GME</w:t>
            </w:r>
            <w:r w:rsidR="00F86A7F">
              <w:rPr>
                <w:sz w:val="24"/>
                <w:szCs w:val="24"/>
              </w:rPr>
              <w:t>)</w:t>
            </w:r>
            <w:r w:rsidRPr="00FF6F6E">
              <w:rPr>
                <w:sz w:val="24"/>
                <w:szCs w:val="24"/>
              </w:rPr>
              <w:t xml:space="preserve"> payments authorized under the PMAP+ demonstration. Th</w:t>
            </w:r>
            <w:r w:rsidRPr="00B237B7">
              <w:rPr>
                <w:sz w:val="24"/>
                <w:szCs w:val="24"/>
              </w:rPr>
              <w:t xml:space="preserve">is amount will constitute the limit for MERC funding for the demonstration in lieu of the limit expressed at 42 CFR §438.6(c)(5)(v).  </w:t>
            </w:r>
            <w:r w:rsidRPr="00B237B7">
              <w:rPr>
                <w:color w:val="000000"/>
                <w:sz w:val="24"/>
                <w:szCs w:val="24"/>
              </w:rPr>
              <w:t>The waiver excludes MSHO (but not MSC+) from application of the</w:t>
            </w:r>
            <w:r w:rsidR="00F86A7F">
              <w:rPr>
                <w:color w:val="000000"/>
                <w:sz w:val="24"/>
                <w:szCs w:val="24"/>
              </w:rPr>
              <w:t xml:space="preserve"> MERC process</w:t>
            </w:r>
            <w:r w:rsidRPr="00B237B7">
              <w:rPr>
                <w:color w:val="000000"/>
                <w:sz w:val="24"/>
                <w:szCs w:val="24"/>
              </w:rPr>
              <w:t>.</w:t>
            </w:r>
            <w:r w:rsidRPr="00FF6F6E">
              <w:rPr>
                <w:color w:val="000000"/>
                <w:sz w:val="24"/>
                <w:szCs w:val="24"/>
              </w:rPr>
              <w:t xml:space="preserve"> </w:t>
            </w:r>
          </w:p>
        </w:tc>
      </w:tr>
      <w:tr w:rsidR="00E25CF6" w14:paraId="4A2B794E" w14:textId="77777777" w:rsidTr="007C7803">
        <w:tc>
          <w:tcPr>
            <w:tcW w:w="2268" w:type="dxa"/>
            <w:shd w:val="clear" w:color="auto" w:fill="auto"/>
          </w:tcPr>
          <w:p w14:paraId="2BAA9583"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AA.3.9</w:t>
            </w:r>
            <w:r>
              <w:rPr>
                <w:rFonts w:ascii="Calibri" w:hAnsi="Calibri" w:cs="Calibri"/>
              </w:rPr>
              <w:t xml:space="preserve"> The State may pay only the equivalent rates as FFS for FQ/RHC.  The rates must not include the FQ/RHC encounter rate, cost-settlement or PPS amounts.  </w:t>
            </w:r>
            <w:r w:rsidRPr="00FC41F0">
              <w:rPr>
                <w:rFonts w:ascii="Calibri" w:hAnsi="Calibri" w:cs="Calibri"/>
              </w:rPr>
              <w:t>FQ/RHC</w:t>
            </w:r>
            <w:r>
              <w:rPr>
                <w:rFonts w:ascii="Calibri" w:hAnsi="Calibri" w:cs="Calibri"/>
              </w:rPr>
              <w:t xml:space="preserve"> payment must be no less than other providers receive. </w:t>
            </w:r>
            <w:r w:rsidRPr="00016DD6">
              <w:rPr>
                <w:rFonts w:ascii="Calibri" w:hAnsi="Calibri" w:cs="Calibri"/>
              </w:rPr>
              <w:t xml:space="preserve"> </w:t>
            </w:r>
          </w:p>
        </w:tc>
        <w:tc>
          <w:tcPr>
            <w:tcW w:w="7337" w:type="dxa"/>
            <w:shd w:val="clear" w:color="auto" w:fill="auto"/>
          </w:tcPr>
          <w:p w14:paraId="4A369F20" w14:textId="77777777" w:rsidR="00E25CF6" w:rsidRDefault="00E25CF6" w:rsidP="00B237B7">
            <w:pPr>
              <w:shd w:val="clear" w:color="auto" w:fill="FFFFFF"/>
              <w:tabs>
                <w:tab w:val="left" w:pos="1447"/>
                <w:tab w:val="center" w:pos="4320"/>
                <w:tab w:val="right" w:pos="8640"/>
              </w:tabs>
              <w:spacing w:after="240"/>
            </w:pPr>
            <w:r w:rsidRPr="00B237B7">
              <w:rPr>
                <w:b/>
                <w:bCs/>
                <w:color w:val="000000"/>
                <w:sz w:val="24"/>
                <w:szCs w:val="24"/>
              </w:rPr>
              <w:t>FQHC and RHC reimbursement</w:t>
            </w:r>
          </w:p>
          <w:p w14:paraId="2A57029D" w14:textId="6C71484F" w:rsidR="003311B5" w:rsidRDefault="003311B5" w:rsidP="00820E15">
            <w:pPr>
              <w:shd w:val="clear" w:color="auto" w:fill="FFFFFF"/>
              <w:tabs>
                <w:tab w:val="left" w:pos="1462"/>
                <w:tab w:val="center" w:pos="4320"/>
                <w:tab w:val="right" w:pos="8640"/>
              </w:tabs>
              <w:spacing w:after="240"/>
              <w:rPr>
                <w:color w:val="000000"/>
                <w:sz w:val="24"/>
                <w:szCs w:val="24"/>
              </w:rPr>
            </w:pPr>
            <w:r w:rsidRPr="003311B5">
              <w:rPr>
                <w:color w:val="000000"/>
                <w:sz w:val="24"/>
                <w:szCs w:val="24"/>
              </w:rPr>
              <w:t>By federal law, the State must pay these entities on a cost basis, and may use historic</w:t>
            </w:r>
            <w:r w:rsidR="00F01DC4">
              <w:rPr>
                <w:color w:val="000000"/>
                <w:sz w:val="24"/>
                <w:szCs w:val="24"/>
              </w:rPr>
              <w:t>al</w:t>
            </w:r>
            <w:r w:rsidRPr="003311B5">
              <w:rPr>
                <w:color w:val="000000"/>
                <w:sz w:val="24"/>
                <w:szCs w:val="24"/>
              </w:rPr>
              <w:t xml:space="preserve"> costs trended forward (prospective payment system).  The FQHC and RHC costs generally exceed the payment rates of the MCOs.  </w:t>
            </w:r>
          </w:p>
          <w:p w14:paraId="2C8374FB" w14:textId="78F24E18" w:rsidR="00E25CF6" w:rsidRPr="00610946" w:rsidRDefault="00F01DC4" w:rsidP="00047A55">
            <w:pPr>
              <w:shd w:val="clear" w:color="auto" w:fill="FFFFFF"/>
              <w:tabs>
                <w:tab w:val="left" w:pos="1462"/>
                <w:tab w:val="center" w:pos="4320"/>
                <w:tab w:val="right" w:pos="8640"/>
              </w:tabs>
              <w:spacing w:after="240"/>
              <w:rPr>
                <w:color w:val="000000"/>
                <w:sz w:val="24"/>
                <w:szCs w:val="24"/>
              </w:rPr>
            </w:pPr>
            <w:r>
              <w:rPr>
                <w:color w:val="000000"/>
                <w:sz w:val="24"/>
                <w:szCs w:val="24"/>
              </w:rPr>
              <w:t>T</w:t>
            </w:r>
            <w:r w:rsidR="003311B5" w:rsidRPr="003311B5">
              <w:rPr>
                <w:color w:val="000000"/>
                <w:sz w:val="24"/>
                <w:szCs w:val="24"/>
              </w:rPr>
              <w:t xml:space="preserve">he State  has historically paid the difference between MCO payment rates and </w:t>
            </w:r>
            <w:r>
              <w:rPr>
                <w:color w:val="000000"/>
                <w:sz w:val="24"/>
                <w:szCs w:val="24"/>
              </w:rPr>
              <w:t xml:space="preserve"> a </w:t>
            </w:r>
            <w:r w:rsidR="003311B5" w:rsidRPr="003311B5">
              <w:rPr>
                <w:color w:val="000000"/>
                <w:sz w:val="24"/>
                <w:szCs w:val="24"/>
              </w:rPr>
              <w:t>cost</w:t>
            </w:r>
            <w:r>
              <w:rPr>
                <w:color w:val="000000"/>
                <w:sz w:val="24"/>
                <w:szCs w:val="24"/>
              </w:rPr>
              <w:t>-based rate</w:t>
            </w:r>
            <w:r w:rsidR="003311B5" w:rsidRPr="003311B5">
              <w:rPr>
                <w:color w:val="000000"/>
                <w:sz w:val="24"/>
                <w:szCs w:val="24"/>
              </w:rPr>
              <w:t xml:space="preserve"> with FQHCs and RHCs.  For 2015, the contract now requires the MCOs to report claims paid to FQHCs and RHCs so that the State may pay the </w:t>
            </w:r>
            <w:r w:rsidR="00F30E5F">
              <w:rPr>
                <w:color w:val="000000"/>
                <w:sz w:val="24"/>
                <w:szCs w:val="24"/>
              </w:rPr>
              <w:t xml:space="preserve">entire rate to </w:t>
            </w:r>
            <w:r w:rsidR="003311B5" w:rsidRPr="003311B5">
              <w:rPr>
                <w:color w:val="000000"/>
                <w:sz w:val="24"/>
                <w:szCs w:val="24"/>
              </w:rPr>
              <w:t>FQHC and RH</w:t>
            </w:r>
            <w:r>
              <w:rPr>
                <w:color w:val="000000"/>
                <w:sz w:val="24"/>
                <w:szCs w:val="24"/>
              </w:rPr>
              <w:t>C</w:t>
            </w:r>
            <w:r w:rsidR="003311B5" w:rsidRPr="003311B5">
              <w:rPr>
                <w:color w:val="000000"/>
                <w:sz w:val="24"/>
                <w:szCs w:val="24"/>
              </w:rPr>
              <w:t xml:space="preserve"> prov</w:t>
            </w:r>
            <w:r w:rsidR="003311B5">
              <w:rPr>
                <w:color w:val="000000"/>
                <w:sz w:val="24"/>
                <w:szCs w:val="24"/>
              </w:rPr>
              <w:t>iders directly. See sections 3.7</w:t>
            </w:r>
            <w:r w:rsidR="003311B5" w:rsidRPr="003311B5">
              <w:rPr>
                <w:color w:val="000000"/>
                <w:sz w:val="24"/>
                <w:szCs w:val="24"/>
              </w:rPr>
              <w:t>.2 (S) and 3.</w:t>
            </w:r>
            <w:r w:rsidR="003311B5">
              <w:rPr>
                <w:color w:val="000000"/>
                <w:sz w:val="24"/>
                <w:szCs w:val="24"/>
              </w:rPr>
              <w:t>8</w:t>
            </w:r>
            <w:r w:rsidR="003311B5" w:rsidRPr="003311B5">
              <w:rPr>
                <w:color w:val="000000"/>
                <w:sz w:val="24"/>
                <w:szCs w:val="24"/>
              </w:rPr>
              <w:t xml:space="preserve"> of the contract.</w:t>
            </w:r>
          </w:p>
        </w:tc>
      </w:tr>
      <w:tr w:rsidR="00E25CF6" w14:paraId="375C024F" w14:textId="77777777" w:rsidTr="007C7803">
        <w:tc>
          <w:tcPr>
            <w:tcW w:w="2268" w:type="dxa"/>
            <w:shd w:val="clear" w:color="auto" w:fill="auto"/>
          </w:tcPr>
          <w:p w14:paraId="00D9810D" w14:textId="77777777" w:rsidR="00E25CF6" w:rsidRPr="00016DD6" w:rsidRDefault="00E25CF6" w:rsidP="000B1368">
            <w:pPr>
              <w:spacing w:after="240"/>
              <w:rPr>
                <w:rFonts w:ascii="Calibri" w:hAnsi="Calibri" w:cs="Calibri"/>
              </w:rPr>
            </w:pPr>
            <w:r w:rsidRPr="00016DD6">
              <w:rPr>
                <w:rFonts w:ascii="Calibri" w:hAnsi="Calibri" w:cs="Calibri"/>
              </w:rPr>
              <w:t xml:space="preserve">AA.3.10  </w:t>
            </w:r>
          </w:p>
          <w:p w14:paraId="33388FCA" w14:textId="77777777" w:rsidR="00E25CF6" w:rsidRPr="00B237B7" w:rsidRDefault="00E25CF6" w:rsidP="00B237B7">
            <w:pPr>
              <w:tabs>
                <w:tab w:val="center" w:pos="4320"/>
                <w:tab w:val="right" w:pos="8640"/>
              </w:tabs>
              <w:spacing w:after="240"/>
              <w:rPr>
                <w:rFonts w:ascii="Calibri" w:hAnsi="Calibri" w:cs="Calibri"/>
              </w:rPr>
            </w:pPr>
            <w:r>
              <w:rPr>
                <w:rFonts w:ascii="Calibri" w:hAnsi="Calibri" w:cs="Calibri"/>
              </w:rPr>
              <w:t xml:space="preserve">Factors are based on historical costs or applicable market basket costs. Factors are documented. </w:t>
            </w:r>
          </w:p>
        </w:tc>
        <w:tc>
          <w:tcPr>
            <w:tcW w:w="7337" w:type="dxa"/>
            <w:shd w:val="clear" w:color="auto" w:fill="auto"/>
          </w:tcPr>
          <w:p w14:paraId="1BF0F77A" w14:textId="77777777" w:rsidR="00E25CF6" w:rsidRDefault="00E25CF6" w:rsidP="00B237B7">
            <w:pPr>
              <w:shd w:val="clear" w:color="auto" w:fill="FFFFFF"/>
              <w:tabs>
                <w:tab w:val="center" w:pos="4320"/>
                <w:tab w:val="right" w:pos="8640"/>
              </w:tabs>
              <w:spacing w:after="240"/>
            </w:pPr>
            <w:r w:rsidRPr="00B237B7">
              <w:rPr>
                <w:b/>
                <w:bCs/>
                <w:color w:val="000000"/>
                <w:sz w:val="24"/>
                <w:szCs w:val="24"/>
              </w:rPr>
              <w:t>Medical Cost/Trend Inflation</w:t>
            </w:r>
          </w:p>
          <w:p w14:paraId="0652C00E" w14:textId="1E6A0915" w:rsidR="00E25CF6" w:rsidRDefault="00E25CF6" w:rsidP="00B237B7">
            <w:pPr>
              <w:shd w:val="clear" w:color="auto" w:fill="FFFFFF"/>
              <w:tabs>
                <w:tab w:val="center" w:pos="4320"/>
                <w:tab w:val="right" w:pos="8640"/>
              </w:tabs>
              <w:spacing w:after="240"/>
            </w:pPr>
            <w:r w:rsidRPr="00B237B7">
              <w:rPr>
                <w:color w:val="000000"/>
                <w:sz w:val="24"/>
                <w:szCs w:val="24"/>
              </w:rPr>
              <w:t xml:space="preserve">The State’s methodologies for the basic care, NF and EW components do not use regional/national medical CPI information in developing cost and utilization trends.  However the actuary does consult utilization and rates for the Medicare FFS program as described in </w:t>
            </w:r>
            <w:r w:rsidR="002D3BF0" w:rsidRPr="002D3BF0">
              <w:rPr>
                <w:color w:val="000000"/>
                <w:sz w:val="24"/>
                <w:szCs w:val="24"/>
              </w:rPr>
              <w:t>Attachment A</w:t>
            </w:r>
            <w:r w:rsidR="00EE1A18">
              <w:rPr>
                <w:color w:val="000000"/>
                <w:sz w:val="24"/>
                <w:szCs w:val="24"/>
              </w:rPr>
              <w:t xml:space="preserve"> </w:t>
            </w:r>
            <w:r w:rsidRPr="00B237B7">
              <w:rPr>
                <w:color w:val="000000"/>
                <w:sz w:val="24"/>
                <w:szCs w:val="24"/>
              </w:rPr>
              <w:t xml:space="preserve">in calculating the benchmark trends blend, particularly with respect to the Medicare cost sharing.  </w:t>
            </w:r>
          </w:p>
          <w:p w14:paraId="2F9E81D0" w14:textId="77777777" w:rsidR="00E25CF6" w:rsidRPr="00B237B7" w:rsidRDefault="00E25CF6" w:rsidP="00B237B7">
            <w:pPr>
              <w:shd w:val="clear" w:color="auto" w:fill="FFFFFF"/>
              <w:tabs>
                <w:tab w:val="center" w:pos="4320"/>
                <w:tab w:val="right" w:pos="8640"/>
              </w:tabs>
              <w:spacing w:after="240"/>
              <w:rPr>
                <w:u w:val="single"/>
              </w:rPr>
            </w:pPr>
            <w:r w:rsidRPr="00B237B7">
              <w:rPr>
                <w:bCs/>
                <w:color w:val="000000"/>
                <w:sz w:val="24"/>
                <w:szCs w:val="24"/>
                <w:u w:val="single"/>
              </w:rPr>
              <w:t>Basic Care</w:t>
            </w:r>
          </w:p>
          <w:p w14:paraId="6EE6C48A" w14:textId="3BC8E6E5" w:rsidR="00E25CF6" w:rsidRPr="003311B5" w:rsidRDefault="00E25CF6"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Actual aggregate MCO cost experience is used.  </w:t>
            </w:r>
            <w:r w:rsidR="002D3BF0" w:rsidRPr="002D3BF0">
              <w:rPr>
                <w:color w:val="000000"/>
                <w:spacing w:val="-1"/>
                <w:sz w:val="24"/>
                <w:szCs w:val="24"/>
              </w:rPr>
              <w:t>Attachment A</w:t>
            </w:r>
            <w:r w:rsidR="00F32A1C">
              <w:rPr>
                <w:color w:val="000000"/>
                <w:spacing w:val="-1"/>
                <w:sz w:val="24"/>
                <w:szCs w:val="24"/>
              </w:rPr>
              <w:t>, Section II</w:t>
            </w:r>
            <w:r w:rsidRPr="00B237B7">
              <w:rPr>
                <w:color w:val="000000"/>
                <w:spacing w:val="-1"/>
                <w:sz w:val="24"/>
                <w:szCs w:val="24"/>
              </w:rPr>
              <w:t xml:space="preserve"> </w:t>
            </w:r>
            <w:r w:rsidRPr="00B237B7">
              <w:rPr>
                <w:color w:val="000000"/>
                <w:spacing w:val="-1"/>
                <w:sz w:val="24"/>
                <w:szCs w:val="24"/>
              </w:rPr>
              <w:lastRenderedPageBreak/>
              <w:t xml:space="preserve">is the actuary’s report detailing the assumptions </w:t>
            </w:r>
            <w:r w:rsidRPr="00B237B7">
              <w:rPr>
                <w:color w:val="000000"/>
                <w:sz w:val="24"/>
                <w:szCs w:val="24"/>
              </w:rPr>
              <w:t>and analysis that went in to the final trend facto</w:t>
            </w:r>
            <w:r w:rsidRPr="003311B5">
              <w:rPr>
                <w:color w:val="000000"/>
                <w:sz w:val="24"/>
                <w:szCs w:val="24"/>
              </w:rPr>
              <w:t>rs for the basic care rate components for seniors.</w:t>
            </w:r>
          </w:p>
          <w:p w14:paraId="260EDEA1" w14:textId="77777777" w:rsidR="00E25CF6" w:rsidRPr="003311B5" w:rsidRDefault="00E25CF6" w:rsidP="006938CE">
            <w:pPr>
              <w:shd w:val="clear" w:color="auto" w:fill="FFFFFF"/>
              <w:tabs>
                <w:tab w:val="center" w:pos="4320"/>
                <w:tab w:val="right" w:pos="8640"/>
              </w:tabs>
              <w:spacing w:after="240"/>
              <w:rPr>
                <w:u w:val="single"/>
              </w:rPr>
            </w:pPr>
            <w:r w:rsidRPr="003311B5">
              <w:rPr>
                <w:bCs/>
                <w:color w:val="000000"/>
                <w:spacing w:val="-1"/>
                <w:sz w:val="24"/>
                <w:szCs w:val="24"/>
                <w:u w:val="single"/>
              </w:rPr>
              <w:t>EW Add-On</w:t>
            </w:r>
          </w:p>
          <w:p w14:paraId="237F855B" w14:textId="0D0DD1BD" w:rsidR="00E25CF6" w:rsidRPr="003311B5" w:rsidRDefault="00E25CF6" w:rsidP="006938CE">
            <w:pPr>
              <w:shd w:val="clear" w:color="auto" w:fill="FFFFFF"/>
              <w:tabs>
                <w:tab w:val="center" w:pos="4320"/>
                <w:tab w:val="right" w:pos="8640"/>
              </w:tabs>
              <w:spacing w:after="240"/>
              <w:rPr>
                <w:color w:val="000000"/>
                <w:spacing w:val="-1"/>
                <w:sz w:val="24"/>
                <w:szCs w:val="24"/>
              </w:rPr>
            </w:pPr>
            <w:r w:rsidRPr="003311B5">
              <w:rPr>
                <w:color w:val="000000"/>
                <w:spacing w:val="-1"/>
                <w:sz w:val="24"/>
                <w:szCs w:val="24"/>
              </w:rPr>
              <w:t xml:space="preserve">The </w:t>
            </w:r>
            <w:r w:rsidR="00F32A1C" w:rsidRPr="003311B5">
              <w:rPr>
                <w:color w:val="000000"/>
                <w:spacing w:val="-1"/>
                <w:sz w:val="24"/>
                <w:szCs w:val="24"/>
              </w:rPr>
              <w:t xml:space="preserve">upcoming year </w:t>
            </w:r>
            <w:r w:rsidRPr="003311B5">
              <w:rPr>
                <w:color w:val="000000"/>
                <w:spacing w:val="-1"/>
                <w:sz w:val="24"/>
                <w:szCs w:val="24"/>
              </w:rPr>
              <w:t>EW Add-On rates were developed using 20</w:t>
            </w:r>
            <w:r w:rsidR="00F32A1C" w:rsidRPr="003311B5">
              <w:rPr>
                <w:color w:val="000000"/>
                <w:spacing w:val="-1"/>
                <w:sz w:val="24"/>
                <w:szCs w:val="24"/>
              </w:rPr>
              <w:t>1</w:t>
            </w:r>
            <w:r w:rsidR="003311B5" w:rsidRPr="003311B5">
              <w:rPr>
                <w:color w:val="000000"/>
                <w:spacing w:val="-1"/>
                <w:sz w:val="24"/>
                <w:szCs w:val="24"/>
              </w:rPr>
              <w:t>3</w:t>
            </w:r>
            <w:r w:rsidRPr="003311B5">
              <w:rPr>
                <w:color w:val="000000"/>
                <w:spacing w:val="-1"/>
                <w:sz w:val="24"/>
                <w:szCs w:val="24"/>
              </w:rPr>
              <w:t xml:space="preserve"> MCO experience for both EW and care coordination / case management (CC/CM) services.  The rates were adjusted for subsequent benefit and trend changes.  The rates include a risk adjustment component to allocate revenue for the EW population based on frailty characteristics.  The risk adjustment factors were developed using MCO encounter and assessment data entered into the State’s MMIS system </w:t>
            </w:r>
            <w:r w:rsidR="0034638D" w:rsidRPr="003311B5">
              <w:rPr>
                <w:color w:val="000000"/>
                <w:spacing w:val="-1"/>
                <w:sz w:val="24"/>
                <w:szCs w:val="24"/>
              </w:rPr>
              <w:t>and 201</w:t>
            </w:r>
            <w:r w:rsidR="003311B5" w:rsidRPr="003311B5">
              <w:rPr>
                <w:color w:val="000000"/>
                <w:spacing w:val="-1"/>
                <w:sz w:val="24"/>
                <w:szCs w:val="24"/>
              </w:rPr>
              <w:t>3</w:t>
            </w:r>
            <w:r w:rsidR="0034638D" w:rsidRPr="003311B5">
              <w:rPr>
                <w:color w:val="000000"/>
                <w:spacing w:val="-1"/>
                <w:sz w:val="24"/>
                <w:szCs w:val="24"/>
              </w:rPr>
              <w:t xml:space="preserve"> MCO services costs submitted by the MCOs for the development of the </w:t>
            </w:r>
            <w:r w:rsidR="00FB3B58" w:rsidRPr="003311B5">
              <w:rPr>
                <w:color w:val="000000"/>
                <w:spacing w:val="-1"/>
                <w:sz w:val="24"/>
                <w:szCs w:val="24"/>
              </w:rPr>
              <w:t xml:space="preserve">upcoming year’s </w:t>
            </w:r>
            <w:r w:rsidR="0034638D" w:rsidRPr="003311B5">
              <w:rPr>
                <w:color w:val="000000"/>
                <w:spacing w:val="-1"/>
                <w:sz w:val="24"/>
                <w:szCs w:val="24"/>
              </w:rPr>
              <w:t xml:space="preserve"> rates </w:t>
            </w:r>
            <w:r w:rsidRPr="003311B5">
              <w:rPr>
                <w:color w:val="000000"/>
                <w:spacing w:val="-1"/>
                <w:sz w:val="24"/>
                <w:szCs w:val="24"/>
              </w:rPr>
              <w:t xml:space="preserve">and are applied to the EW Waiver base rates to calculate the final CY EW Add-On rate.  </w:t>
            </w:r>
          </w:p>
          <w:p w14:paraId="6E2BB6BE" w14:textId="310D28EB" w:rsidR="00E25CF6" w:rsidRDefault="002D3BF0" w:rsidP="006938CE">
            <w:pPr>
              <w:shd w:val="clear" w:color="auto" w:fill="FFFFFF"/>
              <w:tabs>
                <w:tab w:val="center" w:pos="4320"/>
                <w:tab w:val="right" w:pos="8640"/>
              </w:tabs>
              <w:spacing w:after="240"/>
            </w:pPr>
            <w:r w:rsidRPr="002D3BF0">
              <w:rPr>
                <w:color w:val="000000"/>
                <w:sz w:val="24"/>
                <w:szCs w:val="24"/>
              </w:rPr>
              <w:t>Attachment A</w:t>
            </w:r>
            <w:r w:rsidR="00E25CF6" w:rsidRPr="003311B5">
              <w:rPr>
                <w:color w:val="000000"/>
                <w:sz w:val="24"/>
                <w:szCs w:val="24"/>
              </w:rPr>
              <w:t xml:space="preserve">, Section </w:t>
            </w:r>
            <w:r w:rsidR="00F32A1C" w:rsidRPr="003311B5">
              <w:rPr>
                <w:color w:val="000000"/>
                <w:sz w:val="24"/>
                <w:szCs w:val="24"/>
              </w:rPr>
              <w:t>III</w:t>
            </w:r>
            <w:r w:rsidR="00E25CF6" w:rsidRPr="003311B5">
              <w:rPr>
                <w:color w:val="000000"/>
                <w:sz w:val="24"/>
                <w:szCs w:val="24"/>
              </w:rPr>
              <w:t xml:space="preserve"> details </w:t>
            </w:r>
            <w:r w:rsidR="00E25CF6" w:rsidRPr="00B237B7">
              <w:rPr>
                <w:color w:val="000000"/>
                <w:sz w:val="24"/>
                <w:szCs w:val="24"/>
              </w:rPr>
              <w:t>the assumptions and analysis that went in to the final trend factors for the EW rate component.</w:t>
            </w:r>
          </w:p>
          <w:p w14:paraId="1E0E8A31" w14:textId="77777777" w:rsidR="00E25CF6" w:rsidRPr="00B237B7" w:rsidRDefault="00E25CF6" w:rsidP="00B237B7">
            <w:pPr>
              <w:shd w:val="clear" w:color="auto" w:fill="FFFFFF"/>
              <w:tabs>
                <w:tab w:val="center" w:pos="4320"/>
                <w:tab w:val="right" w:pos="8640"/>
              </w:tabs>
              <w:spacing w:after="240"/>
              <w:rPr>
                <w:u w:val="single"/>
              </w:rPr>
            </w:pPr>
            <w:r w:rsidRPr="00B237B7">
              <w:rPr>
                <w:bCs/>
                <w:color w:val="000000"/>
                <w:spacing w:val="-1"/>
                <w:sz w:val="24"/>
                <w:szCs w:val="24"/>
                <w:u w:val="single"/>
              </w:rPr>
              <w:t xml:space="preserve">NF </w:t>
            </w:r>
            <w:r>
              <w:rPr>
                <w:bCs/>
                <w:color w:val="000000"/>
                <w:spacing w:val="-1"/>
                <w:sz w:val="24"/>
                <w:szCs w:val="24"/>
                <w:u w:val="single"/>
              </w:rPr>
              <w:t>Add-On</w:t>
            </w:r>
          </w:p>
          <w:p w14:paraId="2ED83452" w14:textId="2F99512E" w:rsidR="00047A55" w:rsidRPr="00533FEE" w:rsidRDefault="00E25CF6" w:rsidP="00F32A1C">
            <w:pPr>
              <w:shd w:val="clear" w:color="auto" w:fill="FFFFFF"/>
              <w:tabs>
                <w:tab w:val="center" w:pos="4320"/>
                <w:tab w:val="right" w:pos="8640"/>
              </w:tabs>
              <w:spacing w:after="240"/>
              <w:rPr>
                <w:color w:val="000000"/>
                <w:sz w:val="24"/>
                <w:szCs w:val="24"/>
              </w:rPr>
            </w:pPr>
            <w:r w:rsidRPr="00B237B7">
              <w:rPr>
                <w:color w:val="000000"/>
                <w:sz w:val="24"/>
                <w:szCs w:val="24"/>
              </w:rPr>
              <w:t xml:space="preserve">The NF rates were </w:t>
            </w:r>
            <w:r>
              <w:rPr>
                <w:color w:val="000000"/>
                <w:sz w:val="24"/>
                <w:szCs w:val="24"/>
              </w:rPr>
              <w:t xml:space="preserve">developed </w:t>
            </w:r>
            <w:r w:rsidRPr="00B237B7">
              <w:rPr>
                <w:color w:val="000000"/>
                <w:sz w:val="24"/>
                <w:szCs w:val="24"/>
              </w:rPr>
              <w:t xml:space="preserve">using </w:t>
            </w:r>
            <w:r>
              <w:rPr>
                <w:color w:val="000000"/>
                <w:sz w:val="24"/>
                <w:szCs w:val="24"/>
              </w:rPr>
              <w:t>both managed care and FFS experience</w:t>
            </w:r>
            <w:r w:rsidRPr="00B237B7">
              <w:rPr>
                <w:color w:val="000000"/>
                <w:spacing w:val="-1"/>
                <w:sz w:val="24"/>
                <w:szCs w:val="24"/>
              </w:rPr>
              <w:t xml:space="preserve">, and payment </w:t>
            </w:r>
            <w:r w:rsidRPr="00B237B7">
              <w:rPr>
                <w:color w:val="000000"/>
                <w:sz w:val="24"/>
                <w:szCs w:val="24"/>
              </w:rPr>
              <w:t>and forecast information from DHS Reports and Forecasts of Average NF Charge per Day for</w:t>
            </w:r>
            <w:r w:rsidR="00F32A1C">
              <w:t xml:space="preserve"> </w:t>
            </w:r>
            <w:r w:rsidR="00F32A1C" w:rsidRPr="00F32A1C">
              <w:rPr>
                <w:color w:val="000000"/>
                <w:sz w:val="24"/>
                <w:szCs w:val="24"/>
              </w:rPr>
              <w:t>the upcoming year</w:t>
            </w:r>
            <w:r w:rsidRPr="00B237B7">
              <w:rPr>
                <w:color w:val="000000"/>
                <w:sz w:val="24"/>
                <w:szCs w:val="24"/>
              </w:rPr>
              <w:t xml:space="preserve">.  </w:t>
            </w:r>
            <w:r w:rsidR="002D3BF0" w:rsidRPr="002D3BF0">
              <w:rPr>
                <w:color w:val="000000"/>
                <w:sz w:val="24"/>
                <w:szCs w:val="24"/>
              </w:rPr>
              <w:t>Attachment A</w:t>
            </w:r>
            <w:r>
              <w:rPr>
                <w:color w:val="000000"/>
                <w:sz w:val="24"/>
                <w:szCs w:val="24"/>
              </w:rPr>
              <w:t>, S</w:t>
            </w:r>
            <w:r w:rsidR="00F32A1C">
              <w:rPr>
                <w:color w:val="000000"/>
                <w:sz w:val="24"/>
                <w:szCs w:val="24"/>
              </w:rPr>
              <w:t>ection IV</w:t>
            </w:r>
            <w:r w:rsidRPr="00B237B7">
              <w:rPr>
                <w:color w:val="000000"/>
                <w:sz w:val="24"/>
                <w:szCs w:val="24"/>
              </w:rPr>
              <w:t xml:space="preserve"> is the actuary’s report detailing the assumptions and analysis that went in to the final trend factors for the 180 NF rate component.</w:t>
            </w:r>
          </w:p>
        </w:tc>
      </w:tr>
      <w:tr w:rsidR="00E25CF6" w14:paraId="116D3005" w14:textId="77777777" w:rsidTr="007C7803">
        <w:tc>
          <w:tcPr>
            <w:tcW w:w="2268" w:type="dxa"/>
            <w:shd w:val="clear" w:color="auto" w:fill="auto"/>
          </w:tcPr>
          <w:p w14:paraId="5FB46165" w14:textId="77777777" w:rsidR="00E25CF6" w:rsidRDefault="00E25CF6" w:rsidP="00B237B7">
            <w:pPr>
              <w:tabs>
                <w:tab w:val="center" w:pos="4320"/>
                <w:tab w:val="right" w:pos="8640"/>
              </w:tabs>
              <w:spacing w:after="240"/>
              <w:rPr>
                <w:rFonts w:ascii="Calibri" w:hAnsi="Calibri" w:cs="Calibri"/>
              </w:rPr>
            </w:pPr>
            <w:r w:rsidRPr="00016DD6">
              <w:rPr>
                <w:rFonts w:ascii="Calibri" w:hAnsi="Calibri" w:cs="Calibri"/>
              </w:rPr>
              <w:lastRenderedPageBreak/>
              <w:t xml:space="preserve">AA.3.11  </w:t>
            </w:r>
            <w:r>
              <w:rPr>
                <w:rFonts w:ascii="Calibri" w:hAnsi="Calibri" w:cs="Calibri"/>
              </w:rPr>
              <w:t xml:space="preserve">Utilization differences between base data and the proposed population are adjusted out. Changes in utilization (e.g. for new medical procedures)  are adjusted and documented. </w:t>
            </w:r>
          </w:p>
          <w:p w14:paraId="260948F8" w14:textId="77777777" w:rsidR="00047A55" w:rsidRDefault="00047A55" w:rsidP="00B237B7">
            <w:pPr>
              <w:tabs>
                <w:tab w:val="center" w:pos="4320"/>
                <w:tab w:val="right" w:pos="8640"/>
              </w:tabs>
              <w:spacing w:after="240"/>
              <w:rPr>
                <w:rFonts w:ascii="Calibri" w:hAnsi="Calibri" w:cs="Calibri"/>
              </w:rPr>
            </w:pPr>
          </w:p>
          <w:p w14:paraId="4D410D70" w14:textId="77777777" w:rsidR="00047A55" w:rsidRDefault="00047A55" w:rsidP="00B237B7">
            <w:pPr>
              <w:tabs>
                <w:tab w:val="center" w:pos="4320"/>
                <w:tab w:val="right" w:pos="8640"/>
              </w:tabs>
              <w:spacing w:after="240"/>
              <w:rPr>
                <w:rFonts w:ascii="Calibri" w:hAnsi="Calibri" w:cs="Calibri"/>
              </w:rPr>
            </w:pPr>
          </w:p>
          <w:p w14:paraId="53AD5621" w14:textId="77777777" w:rsidR="00047A55" w:rsidRDefault="00047A55" w:rsidP="00B237B7">
            <w:pPr>
              <w:tabs>
                <w:tab w:val="center" w:pos="4320"/>
                <w:tab w:val="right" w:pos="8640"/>
              </w:tabs>
              <w:spacing w:after="240"/>
              <w:rPr>
                <w:rFonts w:ascii="Calibri" w:hAnsi="Calibri" w:cs="Calibri"/>
              </w:rPr>
            </w:pPr>
          </w:p>
          <w:p w14:paraId="3BCE2507" w14:textId="77777777" w:rsidR="00047A55" w:rsidRDefault="00047A55" w:rsidP="00B237B7">
            <w:pPr>
              <w:tabs>
                <w:tab w:val="center" w:pos="4320"/>
                <w:tab w:val="right" w:pos="8640"/>
              </w:tabs>
              <w:spacing w:after="240"/>
              <w:rPr>
                <w:rFonts w:ascii="Calibri" w:hAnsi="Calibri" w:cs="Calibri"/>
              </w:rPr>
            </w:pPr>
          </w:p>
          <w:p w14:paraId="27CC1AFE" w14:textId="77777777" w:rsidR="009E1EB7" w:rsidRDefault="009E1EB7" w:rsidP="00B237B7">
            <w:pPr>
              <w:tabs>
                <w:tab w:val="center" w:pos="4320"/>
                <w:tab w:val="right" w:pos="8640"/>
              </w:tabs>
              <w:spacing w:after="240"/>
              <w:rPr>
                <w:rFonts w:ascii="Calibri" w:hAnsi="Calibri" w:cs="Calibri"/>
              </w:rPr>
            </w:pPr>
          </w:p>
          <w:p w14:paraId="5C344E79" w14:textId="77777777" w:rsidR="009E1EB7" w:rsidRDefault="009E1EB7" w:rsidP="00B237B7">
            <w:pPr>
              <w:tabs>
                <w:tab w:val="center" w:pos="4320"/>
                <w:tab w:val="right" w:pos="8640"/>
              </w:tabs>
              <w:spacing w:after="240"/>
              <w:rPr>
                <w:rFonts w:ascii="Calibri" w:hAnsi="Calibri" w:cs="Calibri"/>
              </w:rPr>
            </w:pPr>
          </w:p>
          <w:p w14:paraId="6E6F4CBD" w14:textId="441003B9" w:rsidR="00047A55" w:rsidRDefault="00047A55" w:rsidP="00B237B7">
            <w:pPr>
              <w:tabs>
                <w:tab w:val="center" w:pos="4320"/>
                <w:tab w:val="right" w:pos="8640"/>
              </w:tabs>
              <w:spacing w:after="240"/>
              <w:rPr>
                <w:rFonts w:ascii="Calibri" w:hAnsi="Calibri" w:cs="Calibri"/>
              </w:rPr>
            </w:pPr>
            <w:r>
              <w:rPr>
                <w:rFonts w:ascii="Calibri" w:hAnsi="Calibri" w:cs="Calibri"/>
              </w:rPr>
              <w:lastRenderedPageBreak/>
              <w:t>AA 3.11 continued</w:t>
            </w:r>
          </w:p>
          <w:p w14:paraId="3EDFEEA3" w14:textId="77777777" w:rsidR="00047A55" w:rsidRDefault="00047A55" w:rsidP="00B237B7">
            <w:pPr>
              <w:tabs>
                <w:tab w:val="center" w:pos="4320"/>
                <w:tab w:val="right" w:pos="8640"/>
              </w:tabs>
              <w:spacing w:after="240"/>
              <w:rPr>
                <w:rFonts w:ascii="Calibri" w:hAnsi="Calibri" w:cs="Calibri"/>
              </w:rPr>
            </w:pPr>
          </w:p>
          <w:p w14:paraId="5FD16657" w14:textId="77777777" w:rsidR="00047A55" w:rsidRPr="00B237B7" w:rsidRDefault="00047A55" w:rsidP="00B237B7">
            <w:pPr>
              <w:tabs>
                <w:tab w:val="center" w:pos="4320"/>
                <w:tab w:val="right" w:pos="8640"/>
              </w:tabs>
              <w:spacing w:after="240"/>
              <w:rPr>
                <w:rFonts w:ascii="Calibri" w:hAnsi="Calibri" w:cs="Calibri"/>
              </w:rPr>
            </w:pPr>
          </w:p>
        </w:tc>
        <w:tc>
          <w:tcPr>
            <w:tcW w:w="7337" w:type="dxa"/>
            <w:shd w:val="clear" w:color="auto" w:fill="auto"/>
          </w:tcPr>
          <w:p w14:paraId="7F50090B" w14:textId="77777777" w:rsidR="00E25CF6" w:rsidRDefault="00E25CF6" w:rsidP="00B237B7">
            <w:pPr>
              <w:shd w:val="clear" w:color="auto" w:fill="FFFFFF"/>
              <w:tabs>
                <w:tab w:val="left" w:pos="1462"/>
                <w:tab w:val="center" w:pos="4320"/>
                <w:tab w:val="right" w:pos="8640"/>
              </w:tabs>
              <w:spacing w:after="240"/>
            </w:pPr>
            <w:r w:rsidRPr="00B237B7">
              <w:rPr>
                <w:b/>
                <w:bCs/>
                <w:color w:val="000000"/>
                <w:sz w:val="24"/>
                <w:szCs w:val="24"/>
              </w:rPr>
              <w:lastRenderedPageBreak/>
              <w:t>Utilization Adjustments</w:t>
            </w:r>
          </w:p>
          <w:p w14:paraId="3C77EB59" w14:textId="77777777" w:rsidR="00E25CF6" w:rsidRDefault="00E25CF6" w:rsidP="00B237B7">
            <w:pPr>
              <w:shd w:val="clear" w:color="auto" w:fill="FFFFFF"/>
              <w:tabs>
                <w:tab w:val="center" w:pos="4320"/>
                <w:tab w:val="right" w:pos="8640"/>
              </w:tabs>
              <w:spacing w:after="240"/>
            </w:pPr>
            <w:r w:rsidRPr="00B237B7">
              <w:rPr>
                <w:color w:val="000000"/>
                <w:sz w:val="24"/>
                <w:szCs w:val="24"/>
                <w:u w:val="single"/>
              </w:rPr>
              <w:t>Basic Care Rate</w:t>
            </w:r>
          </w:p>
          <w:p w14:paraId="5F8C9504" w14:textId="2C2A899D" w:rsidR="00E25CF6" w:rsidRDefault="00E25CF6"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For the </w:t>
            </w:r>
            <w:r w:rsidR="00F30E5F">
              <w:rPr>
                <w:color w:val="000000"/>
                <w:sz w:val="24"/>
                <w:szCs w:val="24"/>
              </w:rPr>
              <w:t>b</w:t>
            </w:r>
            <w:r w:rsidRPr="00B237B7">
              <w:rPr>
                <w:color w:val="000000"/>
                <w:sz w:val="24"/>
                <w:szCs w:val="24"/>
              </w:rPr>
              <w:t xml:space="preserve">asic care component of the rate, utilization adjustments are not made </w:t>
            </w:r>
            <w:r w:rsidRPr="00B237B7">
              <w:rPr>
                <w:color w:val="000000"/>
                <w:spacing w:val="-1"/>
                <w:sz w:val="24"/>
                <w:szCs w:val="24"/>
              </w:rPr>
              <w:t xml:space="preserve">explicitly during the rate development.  The State does not use FFS as a basis for </w:t>
            </w:r>
            <w:r w:rsidRPr="00B237B7">
              <w:rPr>
                <w:color w:val="000000"/>
                <w:sz w:val="24"/>
                <w:szCs w:val="24"/>
              </w:rPr>
              <w:t>the rates and adjusting for differences between FFS and managed care is not necessary.  Trend factors derived from MCO experience have utilization embedded in them along with cost increases.  When there are new sub-</w:t>
            </w:r>
            <w:r w:rsidRPr="00B237B7">
              <w:rPr>
                <w:color w:val="000000"/>
                <w:spacing w:val="-1"/>
                <w:sz w:val="24"/>
                <w:szCs w:val="24"/>
              </w:rPr>
              <w:t>populations included in managed care, the State estimates the expected averag</w:t>
            </w:r>
            <w:r w:rsidRPr="00B237B7">
              <w:rPr>
                <w:color w:val="000000"/>
                <w:sz w:val="24"/>
                <w:szCs w:val="24"/>
              </w:rPr>
              <w:t xml:space="preserve">e cost of these individuals </w:t>
            </w:r>
            <w:r w:rsidRPr="00B237B7">
              <w:rPr>
                <w:color w:val="000000"/>
                <w:spacing w:val="-1"/>
                <w:sz w:val="24"/>
                <w:szCs w:val="24"/>
              </w:rPr>
              <w:t>and adjusts the rates as appropriate.  For</w:t>
            </w:r>
            <w:r w:rsidR="00F32A1C">
              <w:t xml:space="preserve"> </w:t>
            </w:r>
            <w:r w:rsidR="00F32A1C" w:rsidRPr="00F32A1C">
              <w:rPr>
                <w:color w:val="000000"/>
                <w:spacing w:val="-1"/>
                <w:sz w:val="24"/>
                <w:szCs w:val="24"/>
              </w:rPr>
              <w:t>the upcoming year</w:t>
            </w:r>
            <w:r w:rsidRPr="00B237B7">
              <w:rPr>
                <w:color w:val="000000"/>
                <w:spacing w:val="-1"/>
                <w:sz w:val="24"/>
                <w:szCs w:val="24"/>
              </w:rPr>
              <w:t xml:space="preserve">, there are </w:t>
            </w:r>
            <w:r w:rsidRPr="00B237B7">
              <w:rPr>
                <w:color w:val="000000"/>
                <w:sz w:val="24"/>
                <w:szCs w:val="24"/>
              </w:rPr>
              <w:t xml:space="preserve">no new populations being added to </w:t>
            </w:r>
            <w:r w:rsidR="00F32A1C">
              <w:rPr>
                <w:color w:val="000000"/>
                <w:sz w:val="24"/>
                <w:szCs w:val="24"/>
              </w:rPr>
              <w:t>this contract</w:t>
            </w:r>
            <w:r w:rsidRPr="00B237B7">
              <w:rPr>
                <w:color w:val="000000"/>
                <w:sz w:val="24"/>
                <w:szCs w:val="24"/>
              </w:rPr>
              <w:t>.  Thus there are no utilization adjustments for this rating period.</w:t>
            </w:r>
          </w:p>
          <w:p w14:paraId="2F3D9292" w14:textId="77777777" w:rsidR="00E25CF6" w:rsidRDefault="00E25CF6" w:rsidP="006938CE">
            <w:pPr>
              <w:shd w:val="clear" w:color="auto" w:fill="FFFFFF"/>
              <w:tabs>
                <w:tab w:val="center" w:pos="4320"/>
                <w:tab w:val="right" w:pos="8640"/>
              </w:tabs>
              <w:spacing w:after="240"/>
            </w:pPr>
            <w:r w:rsidRPr="00B237B7">
              <w:rPr>
                <w:color w:val="000000"/>
                <w:sz w:val="24"/>
                <w:szCs w:val="24"/>
                <w:u w:val="single"/>
              </w:rPr>
              <w:t xml:space="preserve">EW </w:t>
            </w:r>
            <w:r>
              <w:rPr>
                <w:color w:val="000000"/>
                <w:sz w:val="24"/>
                <w:szCs w:val="24"/>
                <w:u w:val="single"/>
              </w:rPr>
              <w:t>Add-On</w:t>
            </w:r>
          </w:p>
          <w:p w14:paraId="682CB5E4" w14:textId="5D668AF0" w:rsidR="00E25CF6" w:rsidRDefault="00E25CF6" w:rsidP="006938CE">
            <w:pPr>
              <w:shd w:val="clear" w:color="auto" w:fill="FFFFFF"/>
              <w:tabs>
                <w:tab w:val="center" w:pos="4320"/>
                <w:tab w:val="right" w:pos="8640"/>
              </w:tabs>
              <w:spacing w:after="240"/>
              <w:rPr>
                <w:color w:val="000000"/>
                <w:sz w:val="24"/>
                <w:szCs w:val="24"/>
              </w:rPr>
            </w:pPr>
            <w:r>
              <w:rPr>
                <w:color w:val="000000"/>
                <w:sz w:val="24"/>
                <w:szCs w:val="24"/>
              </w:rPr>
              <w:t>No new populations are being added to MSHO or MSC+ for</w:t>
            </w:r>
            <w:r w:rsidR="00F32A1C">
              <w:t xml:space="preserve"> </w:t>
            </w:r>
            <w:r w:rsidR="00F32A1C" w:rsidRPr="00F32A1C">
              <w:rPr>
                <w:color w:val="000000"/>
                <w:sz w:val="24"/>
                <w:szCs w:val="24"/>
              </w:rPr>
              <w:t>the upcoming year</w:t>
            </w:r>
            <w:r>
              <w:rPr>
                <w:color w:val="000000"/>
                <w:sz w:val="24"/>
                <w:szCs w:val="24"/>
              </w:rPr>
              <w:t xml:space="preserve">.  No utilization adjustments were assumed in the rates </w:t>
            </w:r>
            <w:r>
              <w:rPr>
                <w:color w:val="000000"/>
                <w:sz w:val="24"/>
                <w:szCs w:val="24"/>
              </w:rPr>
              <w:lastRenderedPageBreak/>
              <w:t>development for</w:t>
            </w:r>
            <w:r w:rsidR="00FB3B58">
              <w:rPr>
                <w:color w:val="000000"/>
                <w:sz w:val="24"/>
                <w:szCs w:val="24"/>
              </w:rPr>
              <w:t xml:space="preserve"> the upcoming year. </w:t>
            </w:r>
          </w:p>
          <w:p w14:paraId="164AD747" w14:textId="50EA0148" w:rsidR="00E25CF6" w:rsidRPr="00B237B7" w:rsidRDefault="002D3BF0" w:rsidP="006938CE">
            <w:pPr>
              <w:shd w:val="clear" w:color="auto" w:fill="FFFFFF"/>
              <w:tabs>
                <w:tab w:val="center" w:pos="4320"/>
                <w:tab w:val="right" w:pos="8640"/>
              </w:tabs>
              <w:spacing w:after="240"/>
              <w:rPr>
                <w:color w:val="000000"/>
                <w:sz w:val="24"/>
                <w:szCs w:val="24"/>
              </w:rPr>
            </w:pPr>
            <w:r w:rsidRPr="002D3BF0">
              <w:rPr>
                <w:color w:val="000000"/>
                <w:sz w:val="24"/>
                <w:szCs w:val="24"/>
              </w:rPr>
              <w:t>Attachment A</w:t>
            </w:r>
            <w:r w:rsidR="00E25CF6">
              <w:rPr>
                <w:color w:val="000000"/>
                <w:sz w:val="24"/>
                <w:szCs w:val="24"/>
              </w:rPr>
              <w:t xml:space="preserve">, Section </w:t>
            </w:r>
            <w:r w:rsidR="003311B5">
              <w:rPr>
                <w:color w:val="000000"/>
                <w:sz w:val="24"/>
                <w:szCs w:val="24"/>
              </w:rPr>
              <w:t>III</w:t>
            </w:r>
            <w:r w:rsidR="00E25CF6" w:rsidRPr="00B237B7">
              <w:rPr>
                <w:color w:val="000000"/>
                <w:sz w:val="24"/>
                <w:szCs w:val="24"/>
              </w:rPr>
              <w:t xml:space="preserve"> </w:t>
            </w:r>
            <w:r w:rsidR="00E25CF6">
              <w:rPr>
                <w:color w:val="000000"/>
                <w:sz w:val="24"/>
                <w:szCs w:val="24"/>
              </w:rPr>
              <w:t xml:space="preserve">shows </w:t>
            </w:r>
            <w:r w:rsidR="00E25CF6" w:rsidRPr="00B237B7">
              <w:rPr>
                <w:color w:val="000000"/>
                <w:sz w:val="24"/>
                <w:szCs w:val="24"/>
              </w:rPr>
              <w:t xml:space="preserve">the actuary’s </w:t>
            </w:r>
            <w:r w:rsidR="00E25CF6" w:rsidRPr="00B237B7">
              <w:rPr>
                <w:color w:val="000000"/>
                <w:spacing w:val="-1"/>
                <w:sz w:val="24"/>
                <w:szCs w:val="24"/>
              </w:rPr>
              <w:t xml:space="preserve">report detailing the assumptions and analysis that went in to the final trend factors </w:t>
            </w:r>
            <w:r w:rsidR="00E25CF6" w:rsidRPr="00B237B7">
              <w:rPr>
                <w:color w:val="000000"/>
                <w:sz w:val="24"/>
                <w:szCs w:val="24"/>
              </w:rPr>
              <w:t>for the EW rate component.</w:t>
            </w:r>
          </w:p>
          <w:p w14:paraId="50318467" w14:textId="77777777" w:rsidR="00E25CF6" w:rsidRDefault="00E25CF6" w:rsidP="00B237B7">
            <w:pPr>
              <w:shd w:val="clear" w:color="auto" w:fill="FFFFFF"/>
              <w:tabs>
                <w:tab w:val="center" w:pos="4320"/>
                <w:tab w:val="right" w:pos="8640"/>
              </w:tabs>
              <w:spacing w:after="240"/>
            </w:pPr>
            <w:r w:rsidRPr="00B237B7">
              <w:rPr>
                <w:color w:val="000000"/>
                <w:spacing w:val="-1"/>
                <w:sz w:val="24"/>
                <w:szCs w:val="24"/>
                <w:u w:val="single"/>
              </w:rPr>
              <w:t xml:space="preserve">NF </w:t>
            </w:r>
            <w:r>
              <w:rPr>
                <w:color w:val="000000"/>
                <w:spacing w:val="-1"/>
                <w:sz w:val="24"/>
                <w:szCs w:val="24"/>
                <w:u w:val="single"/>
              </w:rPr>
              <w:t>Add-On</w:t>
            </w:r>
          </w:p>
          <w:p w14:paraId="270F4F98" w14:textId="19886DF7" w:rsidR="00E25CF6" w:rsidRPr="00C31D84" w:rsidRDefault="00E25CF6" w:rsidP="003311B5">
            <w:pPr>
              <w:shd w:val="clear" w:color="auto" w:fill="FFFFFF"/>
              <w:tabs>
                <w:tab w:val="center" w:pos="4320"/>
                <w:tab w:val="right" w:pos="8640"/>
              </w:tabs>
              <w:spacing w:after="240"/>
              <w:rPr>
                <w:color w:val="000000"/>
                <w:sz w:val="24"/>
                <w:szCs w:val="24"/>
                <w:u w:val="single"/>
              </w:rPr>
            </w:pPr>
            <w:r>
              <w:rPr>
                <w:color w:val="000000"/>
                <w:sz w:val="24"/>
                <w:szCs w:val="24"/>
              </w:rPr>
              <w:t xml:space="preserve">No utilization adjustment was assumed when </w:t>
            </w:r>
            <w:r w:rsidRPr="003311B5">
              <w:rPr>
                <w:color w:val="000000"/>
                <w:sz w:val="24"/>
                <w:szCs w:val="24"/>
              </w:rPr>
              <w:t>projecting the admission frequency and average length-of-stay (ALOS).  The starting point for the frequency of admissions and ALOS for the development</w:t>
            </w:r>
            <w:r w:rsidRPr="00FB3B58">
              <w:rPr>
                <w:color w:val="000000"/>
                <w:sz w:val="24"/>
                <w:szCs w:val="24"/>
              </w:rPr>
              <w:t xml:space="preserve"> of the NF Add-On rates was based on a blend of experience from CY </w:t>
            </w:r>
            <w:r w:rsidR="003311B5">
              <w:rPr>
                <w:color w:val="000000"/>
                <w:sz w:val="24"/>
                <w:szCs w:val="24"/>
              </w:rPr>
              <w:t>2011-2013</w:t>
            </w:r>
            <w:r w:rsidR="00FB3B58">
              <w:rPr>
                <w:color w:val="000000"/>
                <w:sz w:val="24"/>
                <w:szCs w:val="24"/>
              </w:rPr>
              <w:t xml:space="preserve"> (see page 2</w:t>
            </w:r>
            <w:r w:rsidR="003311B5">
              <w:rPr>
                <w:color w:val="000000"/>
                <w:sz w:val="24"/>
                <w:szCs w:val="24"/>
              </w:rPr>
              <w:t>3</w:t>
            </w:r>
            <w:r w:rsidR="00FB3B58">
              <w:rPr>
                <w:color w:val="000000"/>
                <w:sz w:val="24"/>
                <w:szCs w:val="24"/>
              </w:rPr>
              <w:t xml:space="preserve"> of </w:t>
            </w:r>
            <w:r w:rsidR="002D3BF0" w:rsidRPr="002D3BF0">
              <w:rPr>
                <w:color w:val="000000"/>
                <w:sz w:val="24"/>
                <w:szCs w:val="24"/>
              </w:rPr>
              <w:t>Attachment A</w:t>
            </w:r>
            <w:r w:rsidR="00FB3B58">
              <w:rPr>
                <w:color w:val="000000"/>
                <w:sz w:val="24"/>
                <w:szCs w:val="24"/>
              </w:rPr>
              <w:t>)</w:t>
            </w:r>
            <w:r>
              <w:rPr>
                <w:color w:val="000000"/>
                <w:sz w:val="24"/>
                <w:szCs w:val="24"/>
              </w:rPr>
              <w:t>.  For</w:t>
            </w:r>
            <w:r w:rsidR="00F32A1C">
              <w:t xml:space="preserve"> </w:t>
            </w:r>
            <w:r w:rsidR="00F32A1C" w:rsidRPr="00F32A1C">
              <w:rPr>
                <w:color w:val="000000"/>
                <w:sz w:val="24"/>
                <w:szCs w:val="24"/>
              </w:rPr>
              <w:t>the upcoming year</w:t>
            </w:r>
            <w:r>
              <w:rPr>
                <w:color w:val="000000"/>
                <w:sz w:val="24"/>
                <w:szCs w:val="24"/>
              </w:rPr>
              <w:t xml:space="preserve">, there are no new populations being added to MSHO or MSC+. </w:t>
            </w:r>
          </w:p>
        </w:tc>
      </w:tr>
      <w:tr w:rsidR="00E25CF6" w14:paraId="54934F75" w14:textId="77777777" w:rsidTr="007C7803">
        <w:tc>
          <w:tcPr>
            <w:tcW w:w="2268" w:type="dxa"/>
            <w:shd w:val="clear" w:color="auto" w:fill="auto"/>
          </w:tcPr>
          <w:p w14:paraId="24D7F354"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lastRenderedPageBreak/>
              <w:t xml:space="preserve">AA.3.12 </w:t>
            </w:r>
            <w:r>
              <w:rPr>
                <w:rFonts w:ascii="Calibri" w:hAnsi="Calibri" w:cs="Calibri"/>
              </w:rPr>
              <w:t xml:space="preserve">The State must document the data assumptions were appropriate for the known populations, base and proposed, and if the enrolling population is different from the base, must adjust.  </w:t>
            </w:r>
          </w:p>
        </w:tc>
        <w:tc>
          <w:tcPr>
            <w:tcW w:w="7337" w:type="dxa"/>
            <w:shd w:val="clear" w:color="auto" w:fill="auto"/>
          </w:tcPr>
          <w:p w14:paraId="0B9EAA3F" w14:textId="77777777" w:rsidR="00E25CF6" w:rsidRDefault="00E25CF6" w:rsidP="00B237B7">
            <w:pPr>
              <w:shd w:val="clear" w:color="auto" w:fill="FFFFFF"/>
              <w:tabs>
                <w:tab w:val="left" w:pos="1447"/>
                <w:tab w:val="center" w:pos="4320"/>
                <w:tab w:val="right" w:pos="8640"/>
              </w:tabs>
              <w:spacing w:after="240"/>
            </w:pPr>
            <w:r w:rsidRPr="00B237B7">
              <w:rPr>
                <w:b/>
                <w:color w:val="000000"/>
                <w:sz w:val="24"/>
                <w:szCs w:val="24"/>
              </w:rPr>
              <w:t xml:space="preserve">Utilization </w:t>
            </w:r>
            <w:r w:rsidRPr="00B237B7">
              <w:rPr>
                <w:b/>
                <w:bCs/>
                <w:color w:val="000000"/>
                <w:sz w:val="24"/>
                <w:szCs w:val="24"/>
              </w:rPr>
              <w:t>and Cost Assumptions</w:t>
            </w:r>
          </w:p>
          <w:p w14:paraId="60F5E65C" w14:textId="77777777" w:rsidR="00E25CF6" w:rsidRPr="00B237B7" w:rsidRDefault="00E25CF6" w:rsidP="00E25CF6">
            <w:pPr>
              <w:shd w:val="clear" w:color="auto" w:fill="FFFFFF"/>
              <w:tabs>
                <w:tab w:val="center" w:pos="4320"/>
                <w:tab w:val="right" w:pos="8640"/>
              </w:tabs>
              <w:spacing w:after="240"/>
              <w:rPr>
                <w:b/>
                <w:bCs/>
                <w:color w:val="000000"/>
                <w:sz w:val="24"/>
                <w:szCs w:val="24"/>
              </w:rPr>
            </w:pPr>
            <w:r w:rsidRPr="00B237B7">
              <w:rPr>
                <w:color w:val="000000"/>
                <w:sz w:val="24"/>
                <w:szCs w:val="24"/>
              </w:rPr>
              <w:t>Virtually all of the seniors enrolled in Minnesota’s managed care programs are now required to enroll on a mandatory basis.</w:t>
            </w:r>
            <w:r>
              <w:rPr>
                <w:color w:val="000000"/>
                <w:sz w:val="24"/>
                <w:szCs w:val="24"/>
              </w:rPr>
              <w:t xml:space="preserve"> </w:t>
            </w:r>
            <w:r w:rsidRPr="00E25CF6">
              <w:rPr>
                <w:color w:val="000000"/>
                <w:sz w:val="24"/>
                <w:szCs w:val="24"/>
              </w:rPr>
              <w:t>All costs and utilization are reflected in the MCO data that is the basis for the rates.</w:t>
            </w:r>
          </w:p>
        </w:tc>
      </w:tr>
      <w:tr w:rsidR="00E25CF6" w14:paraId="6664851A" w14:textId="77777777" w:rsidTr="007C7803">
        <w:tc>
          <w:tcPr>
            <w:tcW w:w="2268" w:type="dxa"/>
            <w:shd w:val="clear" w:color="auto" w:fill="auto"/>
          </w:tcPr>
          <w:p w14:paraId="325C14E5" w14:textId="77777777" w:rsidR="00E25CF6" w:rsidRPr="00B237B7" w:rsidRDefault="00E25CF6" w:rsidP="004D4FA3">
            <w:pPr>
              <w:tabs>
                <w:tab w:val="center" w:pos="4320"/>
                <w:tab w:val="right" w:pos="8640"/>
              </w:tabs>
              <w:spacing w:after="240"/>
              <w:rPr>
                <w:rFonts w:ascii="Calibri" w:hAnsi="Calibri" w:cs="Calibri"/>
              </w:rPr>
            </w:pPr>
            <w:r w:rsidRPr="00016DD6">
              <w:rPr>
                <w:rFonts w:ascii="Calibri" w:hAnsi="Calibri" w:cs="Calibri"/>
              </w:rPr>
              <w:t xml:space="preserve">AA.3.13 </w:t>
            </w:r>
            <w:r>
              <w:rPr>
                <w:rFonts w:ascii="Calibri" w:hAnsi="Calibri" w:cs="Calibri"/>
              </w:rPr>
              <w:t xml:space="preserve">The State must account for recipient liability. </w:t>
            </w:r>
          </w:p>
        </w:tc>
        <w:tc>
          <w:tcPr>
            <w:tcW w:w="7337" w:type="dxa"/>
            <w:shd w:val="clear" w:color="auto" w:fill="auto"/>
          </w:tcPr>
          <w:p w14:paraId="119A636B" w14:textId="65BD0E69" w:rsidR="00E25CF6" w:rsidRPr="00B237B7" w:rsidRDefault="00386E43" w:rsidP="00B237B7">
            <w:pPr>
              <w:shd w:val="clear" w:color="auto" w:fill="FFFFFF"/>
              <w:tabs>
                <w:tab w:val="left" w:pos="1454"/>
                <w:tab w:val="center" w:pos="4320"/>
                <w:tab w:val="right" w:pos="8640"/>
              </w:tabs>
              <w:spacing w:after="240"/>
              <w:rPr>
                <w:b/>
              </w:rPr>
            </w:pPr>
            <w:r w:rsidRPr="00386E43">
              <w:rPr>
                <w:b/>
                <w:color w:val="000000"/>
                <w:sz w:val="24"/>
                <w:szCs w:val="24"/>
              </w:rPr>
              <w:t xml:space="preserve">Post-Eligibility Treatment of Income </w:t>
            </w:r>
            <w:r>
              <w:rPr>
                <w:b/>
                <w:color w:val="000000"/>
                <w:sz w:val="24"/>
                <w:szCs w:val="24"/>
              </w:rPr>
              <w:t>(</w:t>
            </w:r>
            <w:r w:rsidR="00E25CF6" w:rsidRPr="00B237B7">
              <w:rPr>
                <w:b/>
                <w:color w:val="000000"/>
                <w:sz w:val="24"/>
                <w:szCs w:val="24"/>
              </w:rPr>
              <w:t>PETI</w:t>
            </w:r>
            <w:r>
              <w:rPr>
                <w:b/>
                <w:color w:val="000000"/>
                <w:sz w:val="24"/>
                <w:szCs w:val="24"/>
              </w:rPr>
              <w:t>)</w:t>
            </w:r>
          </w:p>
          <w:p w14:paraId="6AE4CB9F" w14:textId="77777777" w:rsidR="00E25CF6" w:rsidRPr="00B237B7" w:rsidRDefault="00E25CF6" w:rsidP="00B237B7">
            <w:pPr>
              <w:shd w:val="clear" w:color="auto" w:fill="FFFFFF"/>
              <w:tabs>
                <w:tab w:val="center" w:pos="4320"/>
                <w:tab w:val="right" w:pos="8640"/>
              </w:tabs>
              <w:spacing w:after="240"/>
              <w:rPr>
                <w:b/>
                <w:bCs/>
                <w:color w:val="000000"/>
                <w:sz w:val="24"/>
                <w:szCs w:val="24"/>
              </w:rPr>
            </w:pPr>
            <w:r w:rsidRPr="00162BE6">
              <w:rPr>
                <w:color w:val="000000"/>
                <w:sz w:val="24"/>
                <w:szCs w:val="24"/>
              </w:rPr>
              <w:t>Not applicable for this population.</w:t>
            </w:r>
          </w:p>
        </w:tc>
      </w:tr>
      <w:tr w:rsidR="007C7803" w14:paraId="0E29E747" w14:textId="77777777" w:rsidTr="007C7803">
        <w:tc>
          <w:tcPr>
            <w:tcW w:w="2268" w:type="dxa"/>
            <w:shd w:val="clear" w:color="auto" w:fill="auto"/>
          </w:tcPr>
          <w:p w14:paraId="3953177A" w14:textId="77777777" w:rsidR="007C7803" w:rsidRPr="00B237B7" w:rsidRDefault="007C7803" w:rsidP="004D4FA3">
            <w:pPr>
              <w:tabs>
                <w:tab w:val="center" w:pos="4320"/>
                <w:tab w:val="right" w:pos="8640"/>
              </w:tabs>
              <w:spacing w:after="240"/>
              <w:rPr>
                <w:rFonts w:ascii="Calibri" w:hAnsi="Calibri" w:cs="Calibri"/>
              </w:rPr>
            </w:pPr>
            <w:r w:rsidRPr="00016DD6">
              <w:rPr>
                <w:rFonts w:ascii="Calibri" w:hAnsi="Calibri" w:cs="Calibri"/>
              </w:rPr>
              <w:t xml:space="preserve">AA.3.14 </w:t>
            </w:r>
            <w:r>
              <w:rPr>
                <w:rFonts w:ascii="Calibri" w:hAnsi="Calibri" w:cs="Calibri"/>
              </w:rPr>
              <w:t xml:space="preserve">The State must adjust to account for incomplete base data. </w:t>
            </w:r>
          </w:p>
        </w:tc>
        <w:tc>
          <w:tcPr>
            <w:tcW w:w="7337" w:type="dxa"/>
            <w:shd w:val="clear" w:color="auto" w:fill="auto"/>
          </w:tcPr>
          <w:p w14:paraId="43B885C7" w14:textId="77777777" w:rsidR="007C7803" w:rsidRDefault="007C7803" w:rsidP="00B237B7">
            <w:pPr>
              <w:shd w:val="clear" w:color="auto" w:fill="FFFFFF"/>
              <w:tabs>
                <w:tab w:val="left" w:pos="1454"/>
                <w:tab w:val="center" w:pos="4320"/>
                <w:tab w:val="right" w:pos="8640"/>
              </w:tabs>
              <w:spacing w:after="240"/>
            </w:pPr>
            <w:r w:rsidRPr="00B237B7">
              <w:rPr>
                <w:b/>
                <w:bCs/>
                <w:color w:val="000000"/>
                <w:sz w:val="24"/>
                <w:szCs w:val="24"/>
              </w:rPr>
              <w:t>Incomplete Data Adjustment</w:t>
            </w:r>
          </w:p>
          <w:p w14:paraId="18F0F0B2" w14:textId="77777777" w:rsidR="007C7803" w:rsidRPr="00B237B7" w:rsidRDefault="007C7803" w:rsidP="00B237B7">
            <w:pPr>
              <w:shd w:val="clear" w:color="auto" w:fill="FFFFFF"/>
              <w:tabs>
                <w:tab w:val="center" w:pos="4320"/>
                <w:tab w:val="right" w:pos="8640"/>
              </w:tabs>
              <w:spacing w:after="240"/>
              <w:rPr>
                <w:color w:val="000000"/>
                <w:sz w:val="24"/>
                <w:szCs w:val="24"/>
                <w:u w:val="single"/>
              </w:rPr>
            </w:pPr>
            <w:r w:rsidRPr="00B237B7">
              <w:rPr>
                <w:color w:val="000000"/>
                <w:sz w:val="24"/>
                <w:szCs w:val="24"/>
                <w:u w:val="single"/>
              </w:rPr>
              <w:t>Basic Care</w:t>
            </w:r>
          </w:p>
          <w:p w14:paraId="6E4EA87D" w14:textId="77777777" w:rsidR="007C7803" w:rsidRPr="003311B5" w:rsidRDefault="007C7803" w:rsidP="00B237B7">
            <w:pPr>
              <w:shd w:val="clear" w:color="auto" w:fill="FFFFFF"/>
              <w:tabs>
                <w:tab w:val="center" w:pos="4320"/>
                <w:tab w:val="right" w:pos="8640"/>
              </w:tabs>
              <w:spacing w:after="240"/>
              <w:rPr>
                <w:color w:val="000000"/>
                <w:sz w:val="24"/>
                <w:szCs w:val="24"/>
              </w:rPr>
            </w:pPr>
            <w:r w:rsidRPr="00B237B7">
              <w:rPr>
                <w:color w:val="000000"/>
                <w:sz w:val="24"/>
                <w:szCs w:val="24"/>
              </w:rPr>
              <w:t xml:space="preserve">Minnesota’s rate setting does not use FFS data as there is </w:t>
            </w:r>
            <w:r w:rsidRPr="00B237B7">
              <w:rPr>
                <w:color w:val="000000"/>
                <w:spacing w:val="-1"/>
                <w:sz w:val="24"/>
                <w:szCs w:val="24"/>
              </w:rPr>
              <w:t xml:space="preserve">no longer any historical FFS base for the senior population, and claims completion </w:t>
            </w:r>
            <w:r w:rsidRPr="00B237B7">
              <w:rPr>
                <w:color w:val="000000"/>
                <w:sz w:val="24"/>
                <w:szCs w:val="24"/>
              </w:rPr>
              <w:t xml:space="preserve">factors do not pertain.   However, the State’s actuary does require MCOs to update their financial filings with </w:t>
            </w:r>
            <w:r w:rsidRPr="003311B5">
              <w:rPr>
                <w:color w:val="000000"/>
                <w:sz w:val="24"/>
                <w:szCs w:val="24"/>
              </w:rPr>
              <w:t xml:space="preserve">claims paid, and certify that data.  </w:t>
            </w:r>
          </w:p>
          <w:p w14:paraId="5AA2BCB8" w14:textId="77777777" w:rsidR="007C7803" w:rsidRPr="003311B5" w:rsidRDefault="007C7803" w:rsidP="006938CE">
            <w:pPr>
              <w:shd w:val="clear" w:color="auto" w:fill="FFFFFF"/>
              <w:tabs>
                <w:tab w:val="left" w:pos="1454"/>
                <w:tab w:val="center" w:pos="4320"/>
                <w:tab w:val="right" w:pos="8640"/>
              </w:tabs>
              <w:spacing w:after="240"/>
              <w:rPr>
                <w:color w:val="000000"/>
                <w:sz w:val="24"/>
                <w:szCs w:val="24"/>
                <w:u w:val="single"/>
              </w:rPr>
            </w:pPr>
            <w:r w:rsidRPr="003311B5">
              <w:rPr>
                <w:color w:val="000000"/>
                <w:sz w:val="24"/>
                <w:szCs w:val="24"/>
                <w:u w:val="single"/>
              </w:rPr>
              <w:t xml:space="preserve">EW Add-On </w:t>
            </w:r>
          </w:p>
          <w:p w14:paraId="302EBBAE" w14:textId="0D9A6D9E" w:rsidR="007C7803" w:rsidRDefault="007C7803" w:rsidP="006938CE">
            <w:pPr>
              <w:shd w:val="clear" w:color="auto" w:fill="FFFFFF"/>
              <w:tabs>
                <w:tab w:val="center" w:pos="4320"/>
                <w:tab w:val="right" w:pos="8640"/>
              </w:tabs>
              <w:spacing w:after="240"/>
            </w:pPr>
            <w:r w:rsidRPr="003311B5">
              <w:rPr>
                <w:color w:val="000000"/>
                <w:sz w:val="24"/>
                <w:szCs w:val="24"/>
              </w:rPr>
              <w:t>201</w:t>
            </w:r>
            <w:r w:rsidR="00210942" w:rsidRPr="003311B5">
              <w:rPr>
                <w:color w:val="000000"/>
                <w:sz w:val="24"/>
                <w:szCs w:val="24"/>
              </w:rPr>
              <w:t>5</w:t>
            </w:r>
            <w:r w:rsidRPr="003311B5">
              <w:rPr>
                <w:color w:val="000000"/>
                <w:sz w:val="24"/>
                <w:szCs w:val="24"/>
              </w:rPr>
              <w:t xml:space="preserve"> EW Add-On rates were based on </w:t>
            </w:r>
            <w:r w:rsidR="00F32A1C" w:rsidRPr="003311B5">
              <w:rPr>
                <w:color w:val="000000"/>
                <w:sz w:val="24"/>
                <w:szCs w:val="24"/>
              </w:rPr>
              <w:t>201</w:t>
            </w:r>
            <w:r w:rsidR="003311B5" w:rsidRPr="003311B5">
              <w:rPr>
                <w:color w:val="000000"/>
                <w:sz w:val="24"/>
                <w:szCs w:val="24"/>
              </w:rPr>
              <w:t>3</w:t>
            </w:r>
            <w:r w:rsidRPr="003311B5">
              <w:rPr>
                <w:color w:val="000000"/>
                <w:sz w:val="24"/>
                <w:szCs w:val="24"/>
              </w:rPr>
              <w:t xml:space="preserve"> MCO experience for both EW and care coordination / case management services.  Since current data is being used, no direct adjustment was necessary to reflect claim lag.  A description of the data used for the EW Add-On rates is included in </w:t>
            </w:r>
            <w:r w:rsidR="002D3BF0" w:rsidRPr="002D3BF0">
              <w:rPr>
                <w:color w:val="000000"/>
                <w:sz w:val="24"/>
                <w:szCs w:val="24"/>
              </w:rPr>
              <w:t>Attachment A</w:t>
            </w:r>
            <w:r w:rsidRPr="003311B5">
              <w:rPr>
                <w:color w:val="000000"/>
                <w:sz w:val="24"/>
                <w:szCs w:val="24"/>
              </w:rPr>
              <w:t xml:space="preserve">, Section </w:t>
            </w:r>
            <w:r w:rsidR="00F32A1C" w:rsidRPr="003311B5">
              <w:rPr>
                <w:color w:val="000000"/>
                <w:sz w:val="24"/>
                <w:szCs w:val="24"/>
              </w:rPr>
              <w:t>III</w:t>
            </w:r>
            <w:r w:rsidRPr="003311B5">
              <w:rPr>
                <w:color w:val="000000"/>
                <w:sz w:val="24"/>
                <w:szCs w:val="24"/>
              </w:rPr>
              <w:t>.</w:t>
            </w:r>
          </w:p>
          <w:p w14:paraId="0BE2DE14" w14:textId="77777777" w:rsidR="007C7803" w:rsidRPr="00B237B7" w:rsidRDefault="007C7803" w:rsidP="00B237B7">
            <w:pPr>
              <w:shd w:val="clear" w:color="auto" w:fill="FFFFFF"/>
              <w:tabs>
                <w:tab w:val="center" w:pos="4320"/>
                <w:tab w:val="right" w:pos="8640"/>
              </w:tabs>
              <w:spacing w:after="240"/>
              <w:rPr>
                <w:color w:val="000000"/>
                <w:sz w:val="24"/>
                <w:szCs w:val="24"/>
                <w:u w:val="single"/>
              </w:rPr>
            </w:pPr>
            <w:r w:rsidRPr="00B237B7">
              <w:rPr>
                <w:color w:val="000000"/>
                <w:sz w:val="24"/>
                <w:szCs w:val="24"/>
                <w:u w:val="single"/>
              </w:rPr>
              <w:t xml:space="preserve">NF </w:t>
            </w:r>
            <w:r>
              <w:rPr>
                <w:color w:val="000000"/>
                <w:sz w:val="24"/>
                <w:szCs w:val="24"/>
                <w:u w:val="single"/>
              </w:rPr>
              <w:t>Add-On</w:t>
            </w:r>
            <w:r w:rsidRPr="00B237B7">
              <w:rPr>
                <w:color w:val="000000"/>
                <w:sz w:val="24"/>
                <w:szCs w:val="24"/>
                <w:u w:val="single"/>
              </w:rPr>
              <w:t xml:space="preserve"> </w:t>
            </w:r>
          </w:p>
          <w:p w14:paraId="21492555" w14:textId="11AA8ADA" w:rsidR="007C7803" w:rsidRPr="00FE7D3C" w:rsidRDefault="007C7803" w:rsidP="00F32A1C">
            <w:pPr>
              <w:shd w:val="clear" w:color="auto" w:fill="FFFFFF"/>
              <w:tabs>
                <w:tab w:val="center" w:pos="4320"/>
                <w:tab w:val="right" w:pos="8640"/>
              </w:tabs>
              <w:spacing w:after="240"/>
              <w:rPr>
                <w:color w:val="000000"/>
                <w:sz w:val="24"/>
                <w:szCs w:val="24"/>
              </w:rPr>
            </w:pPr>
            <w:r w:rsidRPr="00FB3B58">
              <w:rPr>
                <w:color w:val="000000"/>
                <w:sz w:val="24"/>
                <w:szCs w:val="24"/>
              </w:rPr>
              <w:t xml:space="preserve">NF Add-On rates are based on Statewide managed care and FFS </w:t>
            </w:r>
            <w:r w:rsidRPr="00FB3B58">
              <w:rPr>
                <w:color w:val="000000"/>
                <w:sz w:val="24"/>
                <w:szCs w:val="24"/>
              </w:rPr>
              <w:lastRenderedPageBreak/>
              <w:t xml:space="preserve">utilization based on living arrangement as reflected in the State MMIS system.  Living arrangement data is considered complete if pulled at least six months after the data period, which it was.  </w:t>
            </w:r>
            <w:r w:rsidR="00400857" w:rsidRPr="00FB3B58">
              <w:rPr>
                <w:color w:val="000000"/>
                <w:sz w:val="24"/>
                <w:szCs w:val="24"/>
              </w:rPr>
              <w:t xml:space="preserve">The </w:t>
            </w:r>
            <w:r w:rsidR="00F32A1C" w:rsidRPr="00FB3B58">
              <w:rPr>
                <w:color w:val="000000"/>
                <w:sz w:val="24"/>
                <w:szCs w:val="24"/>
              </w:rPr>
              <w:t xml:space="preserve">upcoming year </w:t>
            </w:r>
            <w:r w:rsidRPr="00FB3B58">
              <w:rPr>
                <w:color w:val="000000"/>
                <w:sz w:val="24"/>
                <w:szCs w:val="24"/>
              </w:rPr>
              <w:t>charge per day i</w:t>
            </w:r>
            <w:r>
              <w:rPr>
                <w:color w:val="000000"/>
                <w:sz w:val="24"/>
                <w:szCs w:val="24"/>
              </w:rPr>
              <w:t xml:space="preserve">nformation was developed using nursing facility MA charge per day information from the Department of Reports and Forecasting at DHS </w:t>
            </w:r>
            <w:r w:rsidRPr="00B237B7">
              <w:rPr>
                <w:color w:val="000000"/>
                <w:sz w:val="24"/>
                <w:szCs w:val="24"/>
              </w:rPr>
              <w:t xml:space="preserve">and is considered complete for this purpose.  </w:t>
            </w:r>
          </w:p>
        </w:tc>
      </w:tr>
      <w:tr w:rsidR="007C7803" w14:paraId="673B692A" w14:textId="77777777" w:rsidTr="007C7803">
        <w:tc>
          <w:tcPr>
            <w:tcW w:w="2268" w:type="dxa"/>
            <w:shd w:val="clear" w:color="auto" w:fill="auto"/>
          </w:tcPr>
          <w:p w14:paraId="51B659AF" w14:textId="04C78C78" w:rsidR="007C7803" w:rsidRPr="00B237B7" w:rsidRDefault="007C7803" w:rsidP="00E920B5">
            <w:pPr>
              <w:spacing w:after="240"/>
              <w:rPr>
                <w:rFonts w:ascii="Calibri" w:hAnsi="Calibri" w:cs="Calibri"/>
              </w:rPr>
            </w:pPr>
            <w:r w:rsidRPr="00016DD6">
              <w:rPr>
                <w:rFonts w:ascii="Calibri" w:hAnsi="Calibri" w:cs="Calibri"/>
              </w:rPr>
              <w:lastRenderedPageBreak/>
              <w:t xml:space="preserve">AA.4.0-4.4  </w:t>
            </w:r>
            <w:r>
              <w:rPr>
                <w:rFonts w:ascii="Calibri" w:hAnsi="Calibri" w:cs="Calibri"/>
              </w:rPr>
              <w:t>The State must create rate cells specific to the population subgroups (age, gender, etc.)</w:t>
            </w:r>
          </w:p>
        </w:tc>
        <w:tc>
          <w:tcPr>
            <w:tcW w:w="7337" w:type="dxa"/>
            <w:shd w:val="clear" w:color="auto" w:fill="auto"/>
          </w:tcPr>
          <w:p w14:paraId="5B9B7A65" w14:textId="77777777" w:rsidR="007C7803" w:rsidRDefault="007C7803" w:rsidP="00B237B7">
            <w:pPr>
              <w:shd w:val="clear" w:color="auto" w:fill="FFFFFF"/>
              <w:tabs>
                <w:tab w:val="center" w:pos="4320"/>
                <w:tab w:val="right" w:pos="8640"/>
              </w:tabs>
              <w:spacing w:after="240"/>
            </w:pPr>
            <w:r w:rsidRPr="00B237B7">
              <w:rPr>
                <w:b/>
                <w:bCs/>
                <w:color w:val="000000"/>
                <w:sz w:val="24"/>
                <w:szCs w:val="24"/>
              </w:rPr>
              <w:t>Establish Rate Category Groupings (Age, Gender)</w:t>
            </w:r>
          </w:p>
          <w:p w14:paraId="76B35D23" w14:textId="77777777" w:rsidR="007C7803" w:rsidRPr="00B237B7" w:rsidRDefault="007C7803" w:rsidP="00B237B7">
            <w:pPr>
              <w:shd w:val="clear" w:color="auto" w:fill="FFFFFF"/>
              <w:tabs>
                <w:tab w:val="center" w:pos="4320"/>
                <w:tab w:val="right" w:pos="8640"/>
              </w:tabs>
              <w:spacing w:after="240"/>
              <w:rPr>
                <w:color w:val="000000"/>
                <w:spacing w:val="-1"/>
                <w:sz w:val="24"/>
                <w:szCs w:val="24"/>
                <w:u w:val="single"/>
              </w:rPr>
            </w:pPr>
            <w:r w:rsidRPr="00B237B7">
              <w:rPr>
                <w:color w:val="000000"/>
                <w:spacing w:val="-1"/>
                <w:sz w:val="24"/>
                <w:szCs w:val="24"/>
                <w:u w:val="single"/>
              </w:rPr>
              <w:t>Basic Care</w:t>
            </w:r>
          </w:p>
          <w:p w14:paraId="5A090FDC" w14:textId="76EE24E6" w:rsidR="007C7803" w:rsidRDefault="007C7803" w:rsidP="00B237B7">
            <w:pPr>
              <w:shd w:val="clear" w:color="auto" w:fill="FFFFFF"/>
              <w:tabs>
                <w:tab w:val="center" w:pos="4320"/>
                <w:tab w:val="right" w:pos="8640"/>
              </w:tabs>
              <w:spacing w:after="240"/>
              <w:rPr>
                <w:color w:val="000000"/>
                <w:sz w:val="24"/>
                <w:szCs w:val="24"/>
              </w:rPr>
            </w:pPr>
            <w:r w:rsidRPr="00B237B7">
              <w:rPr>
                <w:color w:val="000000"/>
                <w:spacing w:val="-1"/>
                <w:sz w:val="24"/>
                <w:szCs w:val="24"/>
              </w:rPr>
              <w:t xml:space="preserve">The demographic rate category groupings that determine 100% of the </w:t>
            </w:r>
            <w:r>
              <w:rPr>
                <w:color w:val="000000"/>
                <w:spacing w:val="-1"/>
                <w:sz w:val="24"/>
                <w:szCs w:val="24"/>
              </w:rPr>
              <w:t xml:space="preserve">basic care </w:t>
            </w:r>
            <w:r w:rsidRPr="00B237B7">
              <w:rPr>
                <w:color w:val="000000"/>
                <w:sz w:val="24"/>
                <w:szCs w:val="24"/>
              </w:rPr>
              <w:t xml:space="preserve">capitation payments to MCOs for </w:t>
            </w:r>
            <w:r w:rsidR="00F30E5F">
              <w:rPr>
                <w:color w:val="000000"/>
                <w:sz w:val="24"/>
                <w:szCs w:val="24"/>
              </w:rPr>
              <w:t xml:space="preserve">seniors </w:t>
            </w:r>
            <w:r w:rsidRPr="00B237B7">
              <w:rPr>
                <w:color w:val="000000"/>
                <w:sz w:val="24"/>
                <w:szCs w:val="24"/>
              </w:rPr>
              <w:t xml:space="preserve">are delineated by age, gender, eligibility category, and geographic region of the state. </w:t>
            </w:r>
            <w:r>
              <w:rPr>
                <w:color w:val="000000"/>
                <w:sz w:val="24"/>
                <w:szCs w:val="24"/>
              </w:rPr>
              <w:t xml:space="preserve">  </w:t>
            </w:r>
          </w:p>
          <w:p w14:paraId="28B24669" w14:textId="77777777" w:rsidR="007C7803" w:rsidRPr="00B237B7" w:rsidRDefault="007C7803" w:rsidP="002E6B11">
            <w:pPr>
              <w:shd w:val="clear" w:color="auto" w:fill="FFFFFF"/>
              <w:tabs>
                <w:tab w:val="left" w:pos="1454"/>
                <w:tab w:val="center" w:pos="4320"/>
                <w:tab w:val="right" w:pos="8640"/>
              </w:tabs>
              <w:spacing w:after="240"/>
              <w:rPr>
                <w:color w:val="000000"/>
                <w:sz w:val="24"/>
                <w:szCs w:val="24"/>
                <w:u w:val="single"/>
              </w:rPr>
            </w:pPr>
            <w:r w:rsidRPr="00B237B7">
              <w:rPr>
                <w:color w:val="000000"/>
                <w:sz w:val="24"/>
                <w:szCs w:val="24"/>
                <w:u w:val="single"/>
              </w:rPr>
              <w:t xml:space="preserve">EW </w:t>
            </w:r>
            <w:r>
              <w:rPr>
                <w:color w:val="000000"/>
                <w:sz w:val="24"/>
                <w:szCs w:val="24"/>
                <w:u w:val="single"/>
              </w:rPr>
              <w:t>Add-On</w:t>
            </w:r>
          </w:p>
          <w:p w14:paraId="5A43FBAA" w14:textId="4F5F9599" w:rsidR="007C7803" w:rsidRPr="00B237B7" w:rsidRDefault="007C7803" w:rsidP="002E6B11">
            <w:pPr>
              <w:shd w:val="clear" w:color="auto" w:fill="FFFFFF"/>
              <w:tabs>
                <w:tab w:val="center" w:pos="4320"/>
                <w:tab w:val="right" w:pos="8640"/>
              </w:tabs>
              <w:spacing w:after="240"/>
              <w:rPr>
                <w:color w:val="000000"/>
                <w:sz w:val="24"/>
                <w:szCs w:val="24"/>
                <w:u w:val="single"/>
              </w:rPr>
            </w:pPr>
            <w:r w:rsidRPr="00B237B7">
              <w:rPr>
                <w:color w:val="000000"/>
                <w:sz w:val="24"/>
                <w:szCs w:val="24"/>
              </w:rPr>
              <w:t xml:space="preserve">The MSC+/MSHO EW </w:t>
            </w:r>
            <w:r>
              <w:rPr>
                <w:color w:val="000000"/>
                <w:sz w:val="24"/>
                <w:szCs w:val="24"/>
              </w:rPr>
              <w:t>Add-On</w:t>
            </w:r>
            <w:r w:rsidRPr="00B237B7">
              <w:rPr>
                <w:color w:val="000000"/>
                <w:sz w:val="24"/>
                <w:szCs w:val="24"/>
              </w:rPr>
              <w:t xml:space="preserve"> </w:t>
            </w:r>
            <w:r>
              <w:rPr>
                <w:color w:val="000000"/>
                <w:sz w:val="24"/>
                <w:szCs w:val="24"/>
              </w:rPr>
              <w:t xml:space="preserve">rates were </w:t>
            </w:r>
            <w:r w:rsidRPr="00B237B7">
              <w:rPr>
                <w:color w:val="000000"/>
                <w:sz w:val="24"/>
                <w:szCs w:val="24"/>
              </w:rPr>
              <w:t xml:space="preserve">developed based on EW </w:t>
            </w:r>
            <w:r>
              <w:rPr>
                <w:color w:val="000000"/>
                <w:sz w:val="24"/>
                <w:szCs w:val="24"/>
              </w:rPr>
              <w:t xml:space="preserve">MCO </w:t>
            </w:r>
            <w:r w:rsidRPr="00B237B7">
              <w:rPr>
                <w:color w:val="000000"/>
                <w:sz w:val="24"/>
                <w:szCs w:val="24"/>
              </w:rPr>
              <w:t>experience statewide.  Rate cells vary by age, gender and region.</w:t>
            </w:r>
            <w:r>
              <w:rPr>
                <w:color w:val="000000"/>
                <w:sz w:val="24"/>
                <w:szCs w:val="24"/>
              </w:rPr>
              <w:t xml:space="preserve">  The rates include a risk adjustment component to allocate revenue for the EW population based on frailty measures, age, and metro/non-metro status.  </w:t>
            </w:r>
          </w:p>
          <w:p w14:paraId="7D1A9A92" w14:textId="77777777" w:rsidR="007C7803" w:rsidRPr="00B237B7" w:rsidRDefault="007C7803" w:rsidP="00B237B7">
            <w:pPr>
              <w:shd w:val="clear" w:color="auto" w:fill="FFFFFF"/>
              <w:tabs>
                <w:tab w:val="center" w:pos="4320"/>
                <w:tab w:val="right" w:pos="8640"/>
              </w:tabs>
              <w:spacing w:after="240"/>
              <w:rPr>
                <w:color w:val="000000"/>
                <w:sz w:val="24"/>
                <w:szCs w:val="24"/>
                <w:u w:val="single"/>
              </w:rPr>
            </w:pPr>
            <w:r w:rsidRPr="00B237B7">
              <w:rPr>
                <w:color w:val="000000"/>
                <w:sz w:val="24"/>
                <w:szCs w:val="24"/>
                <w:u w:val="single"/>
              </w:rPr>
              <w:t xml:space="preserve">NF </w:t>
            </w:r>
            <w:r>
              <w:rPr>
                <w:color w:val="000000"/>
                <w:sz w:val="24"/>
                <w:szCs w:val="24"/>
                <w:u w:val="single"/>
              </w:rPr>
              <w:t>Add-On</w:t>
            </w:r>
          </w:p>
          <w:p w14:paraId="00A8CFE0" w14:textId="77777777" w:rsidR="007C7803" w:rsidRPr="00533FEE" w:rsidRDefault="007C7803" w:rsidP="00533FEE">
            <w:pPr>
              <w:shd w:val="clear" w:color="auto" w:fill="FFFFFF"/>
              <w:tabs>
                <w:tab w:val="center" w:pos="4320"/>
                <w:tab w:val="right" w:pos="8640"/>
              </w:tabs>
              <w:spacing w:after="240"/>
            </w:pPr>
            <w:r w:rsidRPr="00B237B7">
              <w:rPr>
                <w:color w:val="000000"/>
                <w:sz w:val="24"/>
                <w:szCs w:val="24"/>
              </w:rPr>
              <w:t xml:space="preserve">The </w:t>
            </w:r>
            <w:r>
              <w:rPr>
                <w:color w:val="000000"/>
                <w:sz w:val="24"/>
                <w:szCs w:val="24"/>
              </w:rPr>
              <w:t xml:space="preserve">MSHO / </w:t>
            </w:r>
            <w:r w:rsidRPr="00B237B7">
              <w:rPr>
                <w:color w:val="000000"/>
                <w:sz w:val="24"/>
                <w:szCs w:val="24"/>
              </w:rPr>
              <w:t xml:space="preserve">MSC+ 180 day NF </w:t>
            </w:r>
            <w:r>
              <w:rPr>
                <w:color w:val="000000"/>
                <w:sz w:val="24"/>
                <w:szCs w:val="24"/>
              </w:rPr>
              <w:t>Add-On</w:t>
            </w:r>
            <w:r w:rsidRPr="00B237B7">
              <w:rPr>
                <w:color w:val="000000"/>
                <w:sz w:val="24"/>
                <w:szCs w:val="24"/>
              </w:rPr>
              <w:t xml:space="preserve"> was </w:t>
            </w:r>
            <w:r w:rsidRPr="00B237B7">
              <w:rPr>
                <w:color w:val="000000"/>
                <w:spacing w:val="-1"/>
                <w:sz w:val="24"/>
                <w:szCs w:val="24"/>
              </w:rPr>
              <w:t xml:space="preserve">developed based on non-institutionalized member months and are paid for that </w:t>
            </w:r>
            <w:r w:rsidRPr="00B237B7">
              <w:rPr>
                <w:color w:val="000000"/>
                <w:sz w:val="24"/>
                <w:szCs w:val="24"/>
              </w:rPr>
              <w:t>same group of enrollees.  Rate cells vary by age, gender, region, and Medicare/Non-Medicare.</w:t>
            </w:r>
          </w:p>
        </w:tc>
      </w:tr>
      <w:tr w:rsidR="007C7803" w14:paraId="3D141B36" w14:textId="77777777" w:rsidTr="007C7803">
        <w:tc>
          <w:tcPr>
            <w:tcW w:w="2268" w:type="dxa"/>
            <w:shd w:val="clear" w:color="auto" w:fill="auto"/>
          </w:tcPr>
          <w:p w14:paraId="0ABE91EF" w14:textId="31D2F32B" w:rsidR="007C7803" w:rsidRPr="00B237B7" w:rsidRDefault="007C7803" w:rsidP="00E920B5">
            <w:pPr>
              <w:spacing w:after="240"/>
              <w:rPr>
                <w:rFonts w:ascii="Calibri" w:hAnsi="Calibri" w:cs="Calibri"/>
              </w:rPr>
            </w:pPr>
            <w:r w:rsidRPr="00016DD6">
              <w:rPr>
                <w:rFonts w:ascii="Calibri" w:hAnsi="Calibri" w:cs="Calibri"/>
              </w:rPr>
              <w:t xml:space="preserve">AA.4.0-4.4  </w:t>
            </w:r>
            <w:r>
              <w:rPr>
                <w:rFonts w:ascii="Calibri" w:hAnsi="Calibri" w:cs="Calibri"/>
              </w:rPr>
              <w:t>The State must create rate cells specific to the population subgroups (age, gender, etc.)</w:t>
            </w:r>
          </w:p>
        </w:tc>
        <w:tc>
          <w:tcPr>
            <w:tcW w:w="7337" w:type="dxa"/>
            <w:shd w:val="clear" w:color="auto" w:fill="auto"/>
          </w:tcPr>
          <w:p w14:paraId="4BF1477A" w14:textId="77777777" w:rsidR="007C7803" w:rsidRDefault="007C7803" w:rsidP="00B237B7">
            <w:pPr>
              <w:shd w:val="clear" w:color="auto" w:fill="FFFFFF"/>
              <w:tabs>
                <w:tab w:val="left" w:pos="1454"/>
                <w:tab w:val="center" w:pos="4320"/>
                <w:tab w:val="right" w:pos="8640"/>
              </w:tabs>
              <w:spacing w:after="240"/>
            </w:pPr>
            <w:r w:rsidRPr="00B237B7">
              <w:rPr>
                <w:b/>
                <w:bCs/>
                <w:color w:val="000000"/>
                <w:sz w:val="24"/>
                <w:szCs w:val="24"/>
              </w:rPr>
              <w:t>Locality/Region</w:t>
            </w:r>
          </w:p>
          <w:p w14:paraId="15DF92EC" w14:textId="7A2A8771" w:rsidR="007C7803" w:rsidRPr="00533FEE" w:rsidRDefault="007C7803" w:rsidP="00047A55">
            <w:pPr>
              <w:shd w:val="clear" w:color="auto" w:fill="FFFFFF"/>
              <w:tabs>
                <w:tab w:val="center" w:pos="4320"/>
                <w:tab w:val="right" w:pos="8640"/>
              </w:tabs>
              <w:spacing w:after="240"/>
              <w:rPr>
                <w:color w:val="000000"/>
                <w:sz w:val="24"/>
                <w:szCs w:val="24"/>
              </w:rPr>
            </w:pPr>
            <w:r w:rsidRPr="00B237B7">
              <w:rPr>
                <w:color w:val="000000"/>
                <w:sz w:val="24"/>
                <w:szCs w:val="24"/>
              </w:rPr>
              <w:t xml:space="preserve">For </w:t>
            </w:r>
            <w:r w:rsidR="00F32A1C">
              <w:t xml:space="preserve"> </w:t>
            </w:r>
            <w:r w:rsidR="00F32A1C" w:rsidRPr="00F32A1C">
              <w:rPr>
                <w:color w:val="000000"/>
                <w:sz w:val="24"/>
                <w:szCs w:val="24"/>
              </w:rPr>
              <w:t>the upcoming year</w:t>
            </w:r>
            <w:r w:rsidRPr="00B237B7">
              <w:rPr>
                <w:color w:val="000000"/>
                <w:sz w:val="24"/>
                <w:szCs w:val="24"/>
              </w:rPr>
              <w:t xml:space="preserve"> </w:t>
            </w:r>
            <w:r>
              <w:rPr>
                <w:color w:val="000000"/>
                <w:sz w:val="24"/>
                <w:szCs w:val="24"/>
              </w:rPr>
              <w:t xml:space="preserve">two </w:t>
            </w:r>
            <w:r w:rsidRPr="00B237B7">
              <w:rPr>
                <w:color w:val="000000"/>
                <w:sz w:val="24"/>
                <w:szCs w:val="24"/>
              </w:rPr>
              <w:t xml:space="preserve">geographic regions </w:t>
            </w:r>
            <w:r>
              <w:rPr>
                <w:color w:val="000000"/>
                <w:sz w:val="24"/>
                <w:szCs w:val="24"/>
              </w:rPr>
              <w:t xml:space="preserve">were </w:t>
            </w:r>
            <w:r w:rsidRPr="00B237B7">
              <w:rPr>
                <w:color w:val="000000"/>
                <w:sz w:val="24"/>
                <w:szCs w:val="24"/>
              </w:rPr>
              <w:t>used</w:t>
            </w:r>
            <w:r w:rsidR="003311B5">
              <w:rPr>
                <w:color w:val="000000"/>
                <w:sz w:val="24"/>
                <w:szCs w:val="24"/>
              </w:rPr>
              <w:t>,</w:t>
            </w:r>
            <w:r w:rsidRPr="00B237B7">
              <w:rPr>
                <w:color w:val="000000"/>
                <w:sz w:val="24"/>
                <w:szCs w:val="24"/>
              </w:rPr>
              <w:t xml:space="preserve">  </w:t>
            </w:r>
            <w:r>
              <w:rPr>
                <w:color w:val="000000"/>
                <w:sz w:val="24"/>
                <w:szCs w:val="24"/>
              </w:rPr>
              <w:t>defined as Metro and Non-Metro</w:t>
            </w:r>
            <w:r w:rsidR="003311B5">
              <w:rPr>
                <w:color w:val="000000"/>
                <w:sz w:val="24"/>
                <w:szCs w:val="24"/>
              </w:rPr>
              <w:t xml:space="preserve">, as described on page 16 of </w:t>
            </w:r>
            <w:r w:rsidR="002D3BF0" w:rsidRPr="002D3BF0">
              <w:rPr>
                <w:color w:val="000000"/>
                <w:sz w:val="24"/>
                <w:szCs w:val="24"/>
              </w:rPr>
              <w:t>Attachment</w:t>
            </w:r>
            <w:r w:rsidR="00047A55">
              <w:rPr>
                <w:color w:val="000000"/>
                <w:sz w:val="24"/>
                <w:szCs w:val="24"/>
              </w:rPr>
              <w:t> </w:t>
            </w:r>
            <w:r w:rsidR="002D3BF0" w:rsidRPr="002D3BF0">
              <w:rPr>
                <w:color w:val="000000"/>
                <w:sz w:val="24"/>
                <w:szCs w:val="24"/>
              </w:rPr>
              <w:t>A</w:t>
            </w:r>
            <w:r>
              <w:rPr>
                <w:color w:val="000000"/>
                <w:sz w:val="24"/>
                <w:szCs w:val="24"/>
              </w:rPr>
              <w:t xml:space="preserve">.  </w:t>
            </w:r>
            <w:r w:rsidRPr="00B237B7">
              <w:rPr>
                <w:color w:val="000000"/>
                <w:sz w:val="24"/>
                <w:szCs w:val="24"/>
              </w:rPr>
              <w:t xml:space="preserve">  </w:t>
            </w:r>
          </w:p>
        </w:tc>
      </w:tr>
      <w:tr w:rsidR="007C7803" w14:paraId="41C6B5FC" w14:textId="77777777" w:rsidTr="007C7803">
        <w:tc>
          <w:tcPr>
            <w:tcW w:w="2268" w:type="dxa"/>
            <w:shd w:val="clear" w:color="auto" w:fill="auto"/>
          </w:tcPr>
          <w:p w14:paraId="7DFEC845" w14:textId="4A080C76" w:rsidR="007C7803" w:rsidRPr="00B237B7" w:rsidRDefault="007C7803" w:rsidP="00E920B5">
            <w:pPr>
              <w:spacing w:after="240"/>
              <w:rPr>
                <w:rFonts w:ascii="Calibri" w:hAnsi="Calibri" w:cs="Calibri"/>
              </w:rPr>
            </w:pPr>
            <w:r w:rsidRPr="00016DD6">
              <w:rPr>
                <w:rFonts w:ascii="Calibri" w:hAnsi="Calibri" w:cs="Calibri"/>
              </w:rPr>
              <w:t xml:space="preserve">AA.4.0-4.4  </w:t>
            </w:r>
            <w:r>
              <w:rPr>
                <w:rFonts w:ascii="Calibri" w:hAnsi="Calibri" w:cs="Calibri"/>
              </w:rPr>
              <w:t>The State must create rate cells specific to the population subgroups (age, gender, etc.)</w:t>
            </w:r>
          </w:p>
        </w:tc>
        <w:tc>
          <w:tcPr>
            <w:tcW w:w="7337" w:type="dxa"/>
            <w:shd w:val="clear" w:color="auto" w:fill="auto"/>
          </w:tcPr>
          <w:p w14:paraId="58C664C6" w14:textId="77777777" w:rsidR="00386E43" w:rsidRDefault="00386E43" w:rsidP="00B237B7">
            <w:pPr>
              <w:shd w:val="clear" w:color="auto" w:fill="FFFFFF"/>
              <w:tabs>
                <w:tab w:val="center" w:pos="4320"/>
                <w:tab w:val="right" w:pos="8640"/>
              </w:tabs>
              <w:spacing w:after="240"/>
              <w:rPr>
                <w:b/>
                <w:bCs/>
                <w:color w:val="000000"/>
                <w:sz w:val="24"/>
                <w:szCs w:val="24"/>
              </w:rPr>
            </w:pPr>
            <w:r w:rsidRPr="00386E43">
              <w:rPr>
                <w:b/>
                <w:bCs/>
                <w:color w:val="000000"/>
                <w:sz w:val="24"/>
                <w:szCs w:val="24"/>
              </w:rPr>
              <w:t>Establish Rate Category Groupings (Age, Gender)</w:t>
            </w:r>
          </w:p>
          <w:p w14:paraId="26713FC9" w14:textId="4E14DD97" w:rsidR="007C7803" w:rsidRPr="00B237B7" w:rsidRDefault="007C7803" w:rsidP="00B237B7">
            <w:pPr>
              <w:shd w:val="clear" w:color="auto" w:fill="FFFFFF"/>
              <w:tabs>
                <w:tab w:val="center" w:pos="4320"/>
                <w:tab w:val="right" w:pos="8640"/>
              </w:tabs>
              <w:spacing w:after="240"/>
              <w:rPr>
                <w:color w:val="000000"/>
                <w:sz w:val="24"/>
                <w:szCs w:val="24"/>
                <w:u w:val="single"/>
              </w:rPr>
            </w:pPr>
            <w:r w:rsidRPr="00B237B7">
              <w:rPr>
                <w:color w:val="000000"/>
                <w:sz w:val="24"/>
                <w:szCs w:val="24"/>
                <w:u w:val="single"/>
              </w:rPr>
              <w:t>Basic Care</w:t>
            </w:r>
          </w:p>
          <w:p w14:paraId="61A8CDFF" w14:textId="6DA82201" w:rsidR="007C7803" w:rsidRDefault="00610946" w:rsidP="00B237B7">
            <w:pPr>
              <w:shd w:val="clear" w:color="auto" w:fill="FFFFFF"/>
              <w:tabs>
                <w:tab w:val="center" w:pos="4320"/>
                <w:tab w:val="right" w:pos="8640"/>
              </w:tabs>
              <w:spacing w:after="240"/>
              <w:rPr>
                <w:color w:val="000000"/>
                <w:sz w:val="24"/>
                <w:szCs w:val="24"/>
              </w:rPr>
            </w:pPr>
            <w:r>
              <w:rPr>
                <w:color w:val="000000"/>
                <w:sz w:val="24"/>
                <w:szCs w:val="24"/>
              </w:rPr>
              <w:t>R</w:t>
            </w:r>
            <w:r w:rsidR="007C7803" w:rsidRPr="00B237B7">
              <w:rPr>
                <w:color w:val="000000"/>
                <w:sz w:val="24"/>
                <w:szCs w:val="24"/>
              </w:rPr>
              <w:t xml:space="preserve">ate cells vary by Medicare versus non-Medicare status.  For senior managed care payments, there are no other distinctions among rate cells having to do with </w:t>
            </w:r>
            <w:r w:rsidR="00F30E5F">
              <w:rPr>
                <w:color w:val="000000"/>
                <w:sz w:val="24"/>
                <w:szCs w:val="24"/>
              </w:rPr>
              <w:t>e</w:t>
            </w:r>
            <w:r w:rsidR="007C7803" w:rsidRPr="00B237B7">
              <w:rPr>
                <w:color w:val="000000"/>
                <w:sz w:val="24"/>
                <w:szCs w:val="24"/>
              </w:rPr>
              <w:t xml:space="preserve">ligibility </w:t>
            </w:r>
            <w:r w:rsidR="00F30E5F">
              <w:rPr>
                <w:color w:val="000000"/>
                <w:sz w:val="24"/>
                <w:szCs w:val="24"/>
              </w:rPr>
              <w:t>c</w:t>
            </w:r>
            <w:r w:rsidR="007C7803" w:rsidRPr="00B237B7">
              <w:rPr>
                <w:color w:val="000000"/>
                <w:sz w:val="24"/>
                <w:szCs w:val="24"/>
              </w:rPr>
              <w:t xml:space="preserve">ategories.  </w:t>
            </w:r>
          </w:p>
          <w:p w14:paraId="23F39085" w14:textId="77777777" w:rsidR="007C7803" w:rsidRPr="00B237B7" w:rsidRDefault="007C7803" w:rsidP="002E6B11">
            <w:pPr>
              <w:shd w:val="clear" w:color="auto" w:fill="FFFFFF"/>
              <w:tabs>
                <w:tab w:val="left" w:pos="1454"/>
                <w:tab w:val="center" w:pos="4320"/>
                <w:tab w:val="right" w:pos="8640"/>
              </w:tabs>
              <w:spacing w:after="240"/>
              <w:rPr>
                <w:color w:val="000000"/>
                <w:sz w:val="24"/>
                <w:szCs w:val="24"/>
                <w:u w:val="single"/>
              </w:rPr>
            </w:pPr>
            <w:r w:rsidRPr="00B237B7">
              <w:rPr>
                <w:color w:val="000000"/>
                <w:sz w:val="24"/>
                <w:szCs w:val="24"/>
                <w:u w:val="single"/>
              </w:rPr>
              <w:t xml:space="preserve">EW </w:t>
            </w:r>
            <w:r>
              <w:rPr>
                <w:color w:val="000000"/>
                <w:sz w:val="24"/>
                <w:szCs w:val="24"/>
                <w:u w:val="single"/>
              </w:rPr>
              <w:t>Add-On</w:t>
            </w:r>
          </w:p>
          <w:p w14:paraId="51FC12D6" w14:textId="77777777" w:rsidR="007C7803" w:rsidRDefault="007C7803" w:rsidP="002E6B11">
            <w:pPr>
              <w:shd w:val="clear" w:color="auto" w:fill="FFFFFF"/>
              <w:tabs>
                <w:tab w:val="center" w:pos="4320"/>
                <w:tab w:val="right" w:pos="8640"/>
              </w:tabs>
              <w:spacing w:after="240"/>
            </w:pPr>
            <w:r w:rsidRPr="00B237B7">
              <w:rPr>
                <w:color w:val="000000"/>
                <w:sz w:val="24"/>
                <w:szCs w:val="24"/>
              </w:rPr>
              <w:t xml:space="preserve">Rate cells for the EW </w:t>
            </w:r>
            <w:r>
              <w:rPr>
                <w:color w:val="000000"/>
                <w:sz w:val="24"/>
                <w:szCs w:val="24"/>
              </w:rPr>
              <w:t>Add-On</w:t>
            </w:r>
            <w:r w:rsidRPr="00B237B7">
              <w:rPr>
                <w:color w:val="000000"/>
                <w:sz w:val="24"/>
                <w:szCs w:val="24"/>
              </w:rPr>
              <w:t xml:space="preserve"> do not vary by Medicare status.  No consistent relationship of EW costs was observed for Medicare versus </w:t>
            </w:r>
            <w:r w:rsidRPr="00B237B7">
              <w:rPr>
                <w:color w:val="000000"/>
                <w:sz w:val="24"/>
                <w:szCs w:val="24"/>
              </w:rPr>
              <w:lastRenderedPageBreak/>
              <w:t>Non-Medicare clients.</w:t>
            </w:r>
          </w:p>
          <w:p w14:paraId="4E6B7162" w14:textId="77777777" w:rsidR="007C7803" w:rsidRPr="00B237B7" w:rsidRDefault="007C7803" w:rsidP="00B237B7">
            <w:pPr>
              <w:shd w:val="clear" w:color="auto" w:fill="FFFFFF"/>
              <w:tabs>
                <w:tab w:val="center" w:pos="4320"/>
                <w:tab w:val="right" w:pos="8640"/>
              </w:tabs>
              <w:spacing w:after="240"/>
              <w:rPr>
                <w:color w:val="000000"/>
                <w:spacing w:val="-1"/>
                <w:sz w:val="24"/>
                <w:szCs w:val="24"/>
                <w:u w:val="single"/>
              </w:rPr>
            </w:pPr>
            <w:r w:rsidRPr="00B237B7">
              <w:rPr>
                <w:color w:val="000000"/>
                <w:spacing w:val="-1"/>
                <w:sz w:val="24"/>
                <w:szCs w:val="24"/>
                <w:u w:val="single"/>
              </w:rPr>
              <w:t xml:space="preserve">NF </w:t>
            </w:r>
            <w:r>
              <w:rPr>
                <w:color w:val="000000"/>
                <w:spacing w:val="-1"/>
                <w:sz w:val="24"/>
                <w:szCs w:val="24"/>
                <w:u w:val="single"/>
              </w:rPr>
              <w:t>Add-On</w:t>
            </w:r>
          </w:p>
          <w:p w14:paraId="0AE9AE0C" w14:textId="77777777" w:rsidR="007C7803" w:rsidRPr="00533FEE" w:rsidRDefault="007C7803" w:rsidP="00533FEE">
            <w:pPr>
              <w:shd w:val="clear" w:color="auto" w:fill="FFFFFF"/>
              <w:tabs>
                <w:tab w:val="center" w:pos="4320"/>
                <w:tab w:val="right" w:pos="8640"/>
              </w:tabs>
              <w:spacing w:after="240"/>
            </w:pPr>
            <w:r w:rsidRPr="00B237B7">
              <w:rPr>
                <w:color w:val="000000"/>
                <w:spacing w:val="-1"/>
                <w:sz w:val="24"/>
                <w:szCs w:val="24"/>
              </w:rPr>
              <w:t xml:space="preserve">Rate cells for the NF </w:t>
            </w:r>
            <w:r>
              <w:rPr>
                <w:color w:val="000000"/>
                <w:spacing w:val="-1"/>
                <w:sz w:val="24"/>
                <w:szCs w:val="24"/>
              </w:rPr>
              <w:t>Add-On</w:t>
            </w:r>
            <w:r w:rsidRPr="00B237B7">
              <w:rPr>
                <w:color w:val="000000"/>
                <w:spacing w:val="-1"/>
                <w:sz w:val="24"/>
                <w:szCs w:val="24"/>
              </w:rPr>
              <w:t xml:space="preserve"> rates vary by Medicare versus non-Medicare</w:t>
            </w:r>
            <w:r w:rsidRPr="00B237B7">
              <w:rPr>
                <w:color w:val="000000"/>
                <w:sz w:val="24"/>
                <w:szCs w:val="24"/>
              </w:rPr>
              <w:t xml:space="preserve"> status.</w:t>
            </w:r>
          </w:p>
        </w:tc>
      </w:tr>
      <w:tr w:rsidR="007C7803" w14:paraId="0044608D" w14:textId="77777777" w:rsidTr="007C7803">
        <w:tc>
          <w:tcPr>
            <w:tcW w:w="2268" w:type="dxa"/>
            <w:shd w:val="clear" w:color="auto" w:fill="auto"/>
          </w:tcPr>
          <w:p w14:paraId="644F23AD" w14:textId="5753EF16" w:rsidR="007C7803" w:rsidRPr="00B237B7" w:rsidRDefault="007C7803" w:rsidP="00E920B5">
            <w:pPr>
              <w:spacing w:after="240"/>
              <w:rPr>
                <w:rFonts w:ascii="Calibri" w:hAnsi="Calibri" w:cs="Calibri"/>
              </w:rPr>
            </w:pPr>
            <w:r w:rsidRPr="00016DD6">
              <w:rPr>
                <w:rFonts w:ascii="Calibri" w:hAnsi="Calibri" w:cs="Calibri"/>
              </w:rPr>
              <w:lastRenderedPageBreak/>
              <w:t xml:space="preserve">AA.5.0. </w:t>
            </w:r>
            <w:r>
              <w:rPr>
                <w:rFonts w:ascii="Calibri" w:hAnsi="Calibri" w:cs="Calibri"/>
              </w:rPr>
              <w:t xml:space="preserve">The State must examine the base data for distortions and adjust in a cost-neutral  manner across rate cells if needed. </w:t>
            </w:r>
          </w:p>
        </w:tc>
        <w:tc>
          <w:tcPr>
            <w:tcW w:w="7337" w:type="dxa"/>
            <w:shd w:val="clear" w:color="auto" w:fill="auto"/>
          </w:tcPr>
          <w:p w14:paraId="09BC6B05" w14:textId="75DEA391" w:rsidR="007C7803" w:rsidRPr="00047A55" w:rsidRDefault="007C7803" w:rsidP="00047A55">
            <w:pPr>
              <w:shd w:val="clear" w:color="auto" w:fill="FFFFFF"/>
              <w:tabs>
                <w:tab w:val="left" w:pos="1454"/>
                <w:tab w:val="center" w:pos="4320"/>
                <w:tab w:val="right" w:pos="8640"/>
              </w:tabs>
              <w:spacing w:after="240"/>
            </w:pPr>
            <w:r w:rsidRPr="00B237B7">
              <w:rPr>
                <w:b/>
                <w:bCs/>
                <w:color w:val="000000"/>
                <w:sz w:val="24"/>
                <w:szCs w:val="24"/>
              </w:rPr>
              <w:t>Data Smoothing</w:t>
            </w:r>
          </w:p>
          <w:p w14:paraId="1C6263D4" w14:textId="6425A6BE" w:rsidR="007C7803" w:rsidRDefault="007C7803" w:rsidP="00B237B7">
            <w:pPr>
              <w:shd w:val="clear" w:color="auto" w:fill="FFFFFF"/>
              <w:tabs>
                <w:tab w:val="center" w:pos="4320"/>
                <w:tab w:val="right" w:pos="8640"/>
              </w:tabs>
              <w:spacing w:after="240"/>
              <w:rPr>
                <w:color w:val="000000"/>
                <w:sz w:val="24"/>
                <w:szCs w:val="24"/>
              </w:rPr>
            </w:pPr>
            <w:r w:rsidRPr="00B237B7">
              <w:rPr>
                <w:color w:val="000000"/>
                <w:sz w:val="24"/>
                <w:szCs w:val="24"/>
              </w:rPr>
              <w:t>No data smoothing was required for</w:t>
            </w:r>
            <w:r w:rsidR="00F32A1C">
              <w:t xml:space="preserve"> </w:t>
            </w:r>
            <w:r w:rsidR="00F32A1C" w:rsidRPr="00F32A1C">
              <w:rPr>
                <w:color w:val="000000"/>
                <w:sz w:val="24"/>
                <w:szCs w:val="24"/>
              </w:rPr>
              <w:t>the upcoming year</w:t>
            </w:r>
            <w:r w:rsidRPr="00B237B7">
              <w:rPr>
                <w:color w:val="000000"/>
                <w:sz w:val="24"/>
                <w:szCs w:val="24"/>
              </w:rPr>
              <w:t>.</w:t>
            </w:r>
          </w:p>
          <w:p w14:paraId="619A8746" w14:textId="7935EC68" w:rsidR="007C7803" w:rsidRPr="00533FEE" w:rsidRDefault="007C7803" w:rsidP="00533FEE">
            <w:pPr>
              <w:shd w:val="clear" w:color="auto" w:fill="FFFFFF"/>
              <w:tabs>
                <w:tab w:val="center" w:pos="4320"/>
                <w:tab w:val="right" w:pos="8640"/>
              </w:tabs>
              <w:spacing w:after="240"/>
            </w:pPr>
          </w:p>
        </w:tc>
      </w:tr>
      <w:tr w:rsidR="007C7803" w14:paraId="6D4D5281" w14:textId="77777777" w:rsidTr="007C7803">
        <w:tc>
          <w:tcPr>
            <w:tcW w:w="2268" w:type="dxa"/>
            <w:shd w:val="clear" w:color="auto" w:fill="auto"/>
          </w:tcPr>
          <w:p w14:paraId="4A3A2291" w14:textId="795BF1B0" w:rsidR="007C7803" w:rsidRPr="00B237B7" w:rsidRDefault="007C7803" w:rsidP="00E920B5">
            <w:pPr>
              <w:spacing w:after="240"/>
              <w:rPr>
                <w:rFonts w:ascii="Calibri" w:hAnsi="Calibri" w:cs="Calibri"/>
              </w:rPr>
            </w:pPr>
            <w:r w:rsidRPr="00016DD6">
              <w:rPr>
                <w:rFonts w:ascii="Calibri" w:hAnsi="Calibri" w:cs="Calibri"/>
              </w:rPr>
              <w:t xml:space="preserve">AA.5.1  </w:t>
            </w:r>
            <w:r>
              <w:rPr>
                <w:rFonts w:ascii="Calibri" w:hAnsi="Calibri" w:cs="Calibri"/>
              </w:rPr>
              <w:t xml:space="preserve">The State must assess the degree to which a small number of high-cost claims or enrollees may be distorting the data.  </w:t>
            </w:r>
          </w:p>
        </w:tc>
        <w:tc>
          <w:tcPr>
            <w:tcW w:w="7337" w:type="dxa"/>
            <w:shd w:val="clear" w:color="auto" w:fill="auto"/>
          </w:tcPr>
          <w:p w14:paraId="334CE8AC" w14:textId="77777777" w:rsidR="007C7803" w:rsidRDefault="007C7803" w:rsidP="00B237B7">
            <w:pPr>
              <w:shd w:val="clear" w:color="auto" w:fill="FFFFFF"/>
              <w:tabs>
                <w:tab w:val="left" w:pos="1454"/>
                <w:tab w:val="center" w:pos="4320"/>
                <w:tab w:val="right" w:pos="8640"/>
              </w:tabs>
              <w:spacing w:after="240"/>
            </w:pPr>
            <w:r w:rsidRPr="00B237B7">
              <w:rPr>
                <w:b/>
                <w:bCs/>
                <w:color w:val="000000"/>
                <w:sz w:val="24"/>
                <w:szCs w:val="24"/>
              </w:rPr>
              <w:t xml:space="preserve">Special Populations </w:t>
            </w:r>
          </w:p>
          <w:p w14:paraId="2886D9B7" w14:textId="77777777" w:rsidR="007C7803" w:rsidRPr="00B237B7" w:rsidRDefault="007C7803" w:rsidP="00B237B7">
            <w:pPr>
              <w:shd w:val="clear" w:color="auto" w:fill="FFFFFF"/>
              <w:tabs>
                <w:tab w:val="center" w:pos="4320"/>
                <w:tab w:val="right" w:pos="8640"/>
              </w:tabs>
              <w:spacing w:after="240"/>
              <w:rPr>
                <w:u w:val="single"/>
              </w:rPr>
            </w:pPr>
            <w:r w:rsidRPr="00B237B7">
              <w:rPr>
                <w:color w:val="000000"/>
                <w:sz w:val="24"/>
                <w:szCs w:val="24"/>
                <w:u w:val="single"/>
              </w:rPr>
              <w:t>Basic Care</w:t>
            </w:r>
          </w:p>
          <w:p w14:paraId="585B030B" w14:textId="77777777" w:rsidR="007C7803" w:rsidRDefault="007C7803" w:rsidP="00B237B7">
            <w:pPr>
              <w:shd w:val="clear" w:color="auto" w:fill="FFFFFF"/>
              <w:tabs>
                <w:tab w:val="center" w:pos="4320"/>
                <w:tab w:val="right" w:pos="8640"/>
              </w:tabs>
              <w:spacing w:after="240"/>
            </w:pPr>
            <w:r w:rsidRPr="00B237B7">
              <w:rPr>
                <w:color w:val="000000"/>
                <w:sz w:val="24"/>
                <w:szCs w:val="24"/>
              </w:rPr>
              <w:t xml:space="preserve">The cost experience of the MCOs for seniors includes a range of people with </w:t>
            </w:r>
            <w:r w:rsidRPr="00B237B7">
              <w:rPr>
                <w:color w:val="000000"/>
                <w:spacing w:val="-1"/>
                <w:sz w:val="24"/>
                <w:szCs w:val="24"/>
              </w:rPr>
              <w:t xml:space="preserve">chronic diseases typical of the elderly population, and the State accommodates these higher costs in three ways: the demographic rate categories have different </w:t>
            </w:r>
            <w:r w:rsidRPr="00B237B7">
              <w:rPr>
                <w:color w:val="000000"/>
                <w:sz w:val="24"/>
                <w:szCs w:val="24"/>
              </w:rPr>
              <w:t>cost weights for enrollees who fall into institutional, community and age categories; the State adjusts these costs for dual eligible persons versus non-Medicare-eligible seniors, and additional costs needed for long term care are reflected through separate rate cells for NF, community and community EW enrollees.</w:t>
            </w:r>
          </w:p>
          <w:p w14:paraId="3690945D" w14:textId="77777777" w:rsidR="007C7803" w:rsidRPr="00B237B7" w:rsidRDefault="007C7803" w:rsidP="00B237B7">
            <w:pPr>
              <w:shd w:val="clear" w:color="auto" w:fill="FFFFFF"/>
              <w:tabs>
                <w:tab w:val="center" w:pos="4320"/>
                <w:tab w:val="right" w:pos="8640"/>
              </w:tabs>
              <w:spacing w:after="240"/>
              <w:rPr>
                <w:u w:val="single"/>
              </w:rPr>
            </w:pPr>
            <w:r w:rsidRPr="00B237B7">
              <w:rPr>
                <w:color w:val="000000"/>
                <w:sz w:val="24"/>
                <w:szCs w:val="24"/>
                <w:u w:val="single"/>
              </w:rPr>
              <w:t xml:space="preserve">NF and EW </w:t>
            </w:r>
            <w:r>
              <w:rPr>
                <w:color w:val="000000"/>
                <w:sz w:val="24"/>
                <w:szCs w:val="24"/>
                <w:u w:val="single"/>
              </w:rPr>
              <w:t>Add-On</w:t>
            </w:r>
            <w:r w:rsidRPr="00B237B7">
              <w:rPr>
                <w:color w:val="000000"/>
                <w:sz w:val="24"/>
                <w:szCs w:val="24"/>
                <w:u w:val="single"/>
              </w:rPr>
              <w:t xml:space="preserve"> rates</w:t>
            </w:r>
          </w:p>
          <w:p w14:paraId="639885AE" w14:textId="18B94E59" w:rsidR="007C7803" w:rsidRPr="00B237B7" w:rsidRDefault="007C7803" w:rsidP="00F15D13">
            <w:pPr>
              <w:shd w:val="clear" w:color="auto" w:fill="FFFFFF"/>
              <w:tabs>
                <w:tab w:val="left" w:pos="1454"/>
                <w:tab w:val="center" w:pos="4320"/>
                <w:tab w:val="right" w:pos="8640"/>
              </w:tabs>
              <w:spacing w:after="240"/>
              <w:rPr>
                <w:b/>
                <w:color w:val="000000"/>
                <w:sz w:val="24"/>
                <w:szCs w:val="24"/>
              </w:rPr>
            </w:pPr>
            <w:r w:rsidRPr="00B237B7">
              <w:rPr>
                <w:color w:val="000000"/>
                <w:sz w:val="24"/>
                <w:szCs w:val="24"/>
              </w:rPr>
              <w:t xml:space="preserve">Catastrophic claims are not an issue for NF and EW payments due to daily and monthly limits, respectively, placed on Medicaid payment for these services.  </w:t>
            </w:r>
            <w:r>
              <w:rPr>
                <w:color w:val="000000"/>
                <w:sz w:val="24"/>
                <w:szCs w:val="24"/>
              </w:rPr>
              <w:t xml:space="preserve">In addition, the EW rate is risk adjusted.  </w:t>
            </w:r>
            <w:r w:rsidRPr="00B237B7">
              <w:rPr>
                <w:color w:val="000000"/>
                <w:sz w:val="24"/>
                <w:szCs w:val="24"/>
              </w:rPr>
              <w:t>For this reason, no adjustment was necessary.</w:t>
            </w:r>
          </w:p>
        </w:tc>
      </w:tr>
      <w:tr w:rsidR="007C7803" w14:paraId="799F9CB3" w14:textId="77777777" w:rsidTr="007C7803">
        <w:tc>
          <w:tcPr>
            <w:tcW w:w="2268" w:type="dxa"/>
            <w:shd w:val="clear" w:color="auto" w:fill="auto"/>
          </w:tcPr>
          <w:p w14:paraId="5413CA4E" w14:textId="390113A8" w:rsidR="007C7803" w:rsidRPr="00B237B7" w:rsidRDefault="007C7803" w:rsidP="00E920B5">
            <w:pPr>
              <w:spacing w:after="240"/>
              <w:rPr>
                <w:rFonts w:ascii="Calibri" w:hAnsi="Calibri" w:cs="Calibri"/>
              </w:rPr>
            </w:pPr>
            <w:r w:rsidRPr="00016DD6">
              <w:rPr>
                <w:rFonts w:ascii="Calibri" w:hAnsi="Calibri" w:cs="Calibri"/>
              </w:rPr>
              <w:t>AA.5.2</w:t>
            </w:r>
            <w:r w:rsidRPr="00016DD6">
              <w:rPr>
                <w:rFonts w:ascii="Calibri" w:hAnsi="Calibri" w:cs="Calibri"/>
              </w:rPr>
              <w:tab/>
            </w:r>
            <w:r w:rsidR="00E920B5">
              <w:rPr>
                <w:rFonts w:ascii="Calibri" w:hAnsi="Calibri" w:cs="Calibri"/>
              </w:rPr>
              <w:t xml:space="preserve"> </w:t>
            </w:r>
            <w:r>
              <w:rPr>
                <w:rFonts w:ascii="Calibri" w:hAnsi="Calibri" w:cs="Calibri"/>
              </w:rPr>
              <w:t xml:space="preserve">If catastrophic claims are distorting the data then correction must be made (e.g. stop loss, kick payment, actuarial adjustment, etc.). </w:t>
            </w:r>
          </w:p>
        </w:tc>
        <w:tc>
          <w:tcPr>
            <w:tcW w:w="7337" w:type="dxa"/>
            <w:shd w:val="clear" w:color="auto" w:fill="auto"/>
          </w:tcPr>
          <w:p w14:paraId="16450115" w14:textId="77777777" w:rsidR="007C7803" w:rsidRDefault="007C7803" w:rsidP="00B237B7">
            <w:pPr>
              <w:shd w:val="clear" w:color="auto" w:fill="FFFFFF"/>
              <w:tabs>
                <w:tab w:val="left" w:pos="1462"/>
                <w:tab w:val="center" w:pos="4320"/>
                <w:tab w:val="right" w:pos="8640"/>
              </w:tabs>
              <w:spacing w:after="240"/>
            </w:pPr>
            <w:r w:rsidRPr="00B237B7">
              <w:rPr>
                <w:b/>
                <w:bCs/>
                <w:color w:val="000000"/>
                <w:sz w:val="24"/>
                <w:szCs w:val="24"/>
              </w:rPr>
              <w:t>Cost-neutral data smoothing adjustment</w:t>
            </w:r>
          </w:p>
          <w:p w14:paraId="233BC830" w14:textId="77777777" w:rsidR="007C7803" w:rsidRDefault="007C7803" w:rsidP="00386E43">
            <w:pPr>
              <w:shd w:val="clear" w:color="auto" w:fill="FFFFFF"/>
              <w:tabs>
                <w:tab w:val="left" w:pos="1454"/>
                <w:tab w:val="center" w:pos="4320"/>
                <w:tab w:val="right" w:pos="8640"/>
              </w:tabs>
              <w:spacing w:after="240"/>
              <w:rPr>
                <w:color w:val="000000"/>
                <w:spacing w:val="-1"/>
                <w:sz w:val="24"/>
                <w:szCs w:val="24"/>
              </w:rPr>
            </w:pPr>
            <w:r w:rsidRPr="00B237B7">
              <w:rPr>
                <w:color w:val="000000"/>
                <w:spacing w:val="-1"/>
                <w:sz w:val="24"/>
                <w:szCs w:val="24"/>
              </w:rPr>
              <w:t xml:space="preserve">No data smoothing adjustments have been made for </w:t>
            </w:r>
            <w:r w:rsidR="00F32A1C">
              <w:t xml:space="preserve"> </w:t>
            </w:r>
            <w:r w:rsidR="00F32A1C" w:rsidRPr="00F32A1C">
              <w:rPr>
                <w:color w:val="000000"/>
                <w:spacing w:val="-1"/>
                <w:sz w:val="24"/>
                <w:szCs w:val="24"/>
              </w:rPr>
              <w:t>the upcoming year</w:t>
            </w:r>
            <w:r w:rsidRPr="00B237B7">
              <w:rPr>
                <w:color w:val="000000"/>
                <w:spacing w:val="-1"/>
                <w:sz w:val="24"/>
                <w:szCs w:val="24"/>
              </w:rPr>
              <w:t xml:space="preserve"> rates.  </w:t>
            </w:r>
          </w:p>
          <w:p w14:paraId="477B9B00" w14:textId="77777777" w:rsidR="00047A55" w:rsidRDefault="00047A55" w:rsidP="00386E43">
            <w:pPr>
              <w:shd w:val="clear" w:color="auto" w:fill="FFFFFF"/>
              <w:tabs>
                <w:tab w:val="left" w:pos="1454"/>
                <w:tab w:val="center" w:pos="4320"/>
                <w:tab w:val="right" w:pos="8640"/>
              </w:tabs>
              <w:spacing w:after="240"/>
              <w:rPr>
                <w:color w:val="000000"/>
                <w:spacing w:val="-1"/>
                <w:sz w:val="24"/>
                <w:szCs w:val="24"/>
              </w:rPr>
            </w:pPr>
          </w:p>
          <w:p w14:paraId="6BF6265D" w14:textId="77777777" w:rsidR="00047A55" w:rsidRDefault="00047A55" w:rsidP="00386E43">
            <w:pPr>
              <w:shd w:val="clear" w:color="auto" w:fill="FFFFFF"/>
              <w:tabs>
                <w:tab w:val="left" w:pos="1454"/>
                <w:tab w:val="center" w:pos="4320"/>
                <w:tab w:val="right" w:pos="8640"/>
              </w:tabs>
              <w:spacing w:after="240"/>
              <w:rPr>
                <w:color w:val="000000"/>
                <w:spacing w:val="-1"/>
                <w:sz w:val="24"/>
                <w:szCs w:val="24"/>
              </w:rPr>
            </w:pPr>
          </w:p>
          <w:p w14:paraId="704747EF" w14:textId="27AC9779" w:rsidR="00047A55" w:rsidRPr="00B237B7" w:rsidRDefault="00047A55" w:rsidP="00386E43">
            <w:pPr>
              <w:shd w:val="clear" w:color="auto" w:fill="FFFFFF"/>
              <w:tabs>
                <w:tab w:val="left" w:pos="1454"/>
                <w:tab w:val="center" w:pos="4320"/>
                <w:tab w:val="right" w:pos="8640"/>
              </w:tabs>
              <w:spacing w:after="240"/>
              <w:rPr>
                <w:b/>
                <w:color w:val="000000"/>
                <w:sz w:val="24"/>
                <w:szCs w:val="24"/>
              </w:rPr>
            </w:pPr>
          </w:p>
        </w:tc>
      </w:tr>
      <w:tr w:rsidR="007C7803" w14:paraId="3C7F9DB5" w14:textId="77777777" w:rsidTr="007C7803">
        <w:tc>
          <w:tcPr>
            <w:tcW w:w="2268" w:type="dxa"/>
            <w:shd w:val="clear" w:color="auto" w:fill="auto"/>
          </w:tcPr>
          <w:p w14:paraId="1709F277" w14:textId="6E6407CE" w:rsidR="007C7803" w:rsidRPr="00B237B7" w:rsidRDefault="007C7803" w:rsidP="00E920B5">
            <w:pPr>
              <w:spacing w:after="240"/>
              <w:rPr>
                <w:rFonts w:ascii="Calibri" w:hAnsi="Calibri" w:cs="Calibri"/>
              </w:rPr>
            </w:pPr>
            <w:r w:rsidRPr="00016DD6">
              <w:rPr>
                <w:rFonts w:ascii="Calibri" w:hAnsi="Calibri" w:cs="Calibri"/>
              </w:rPr>
              <w:t xml:space="preserve">AA.5.3 </w:t>
            </w:r>
            <w:r w:rsidR="00E920B5">
              <w:rPr>
                <w:rFonts w:ascii="Calibri" w:hAnsi="Calibri" w:cs="Calibri"/>
              </w:rPr>
              <w:t xml:space="preserve"> </w:t>
            </w:r>
            <w:r>
              <w:rPr>
                <w:rFonts w:ascii="Calibri" w:hAnsi="Calibri" w:cs="Calibri"/>
              </w:rPr>
              <w:t xml:space="preserve">If the State adjusts payments for differential population risk among MCOs, the </w:t>
            </w:r>
            <w:r>
              <w:rPr>
                <w:rFonts w:ascii="Calibri" w:hAnsi="Calibri" w:cs="Calibri"/>
              </w:rPr>
              <w:lastRenderedPageBreak/>
              <w:t xml:space="preserve">method must be cost-neutral, based on an accepted grouper, and documented. </w:t>
            </w:r>
          </w:p>
        </w:tc>
        <w:tc>
          <w:tcPr>
            <w:tcW w:w="7337" w:type="dxa"/>
            <w:shd w:val="clear" w:color="auto" w:fill="auto"/>
          </w:tcPr>
          <w:p w14:paraId="73A77181" w14:textId="77777777" w:rsidR="007C7803" w:rsidRDefault="007C7803" w:rsidP="00B237B7">
            <w:pPr>
              <w:shd w:val="clear" w:color="auto" w:fill="FFFFFF"/>
              <w:tabs>
                <w:tab w:val="left" w:pos="1447"/>
                <w:tab w:val="center" w:pos="4320"/>
                <w:tab w:val="right" w:pos="8640"/>
              </w:tabs>
              <w:spacing w:after="240"/>
            </w:pPr>
            <w:r w:rsidRPr="00B237B7">
              <w:rPr>
                <w:b/>
                <w:bCs/>
                <w:color w:val="000000"/>
                <w:sz w:val="24"/>
                <w:szCs w:val="24"/>
              </w:rPr>
              <w:lastRenderedPageBreak/>
              <w:t>Risk Adjustment</w:t>
            </w:r>
          </w:p>
          <w:p w14:paraId="0D679D3B" w14:textId="379F4045" w:rsidR="00117A9A" w:rsidRPr="00117A9A" w:rsidRDefault="00117A9A" w:rsidP="00B237B7">
            <w:pPr>
              <w:shd w:val="clear" w:color="auto" w:fill="FFFFFF"/>
              <w:tabs>
                <w:tab w:val="center" w:pos="4320"/>
                <w:tab w:val="right" w:pos="8640"/>
              </w:tabs>
              <w:spacing w:after="240"/>
              <w:rPr>
                <w:color w:val="000000"/>
                <w:sz w:val="24"/>
                <w:szCs w:val="24"/>
                <w:u w:val="single"/>
              </w:rPr>
            </w:pPr>
            <w:r w:rsidRPr="00117A9A">
              <w:rPr>
                <w:color w:val="000000"/>
                <w:sz w:val="24"/>
                <w:szCs w:val="24"/>
                <w:u w:val="single"/>
              </w:rPr>
              <w:t>Basic Care</w:t>
            </w:r>
            <w:r>
              <w:rPr>
                <w:color w:val="000000"/>
                <w:sz w:val="24"/>
                <w:szCs w:val="24"/>
                <w:u w:val="single"/>
              </w:rPr>
              <w:t xml:space="preserve"> and LTC</w:t>
            </w:r>
            <w:r w:rsidRPr="00117A9A">
              <w:rPr>
                <w:color w:val="000000"/>
                <w:sz w:val="24"/>
                <w:szCs w:val="24"/>
                <w:u w:val="single"/>
              </w:rPr>
              <w:t xml:space="preserve"> </w:t>
            </w:r>
          </w:p>
          <w:p w14:paraId="5B07A4D8" w14:textId="31492625" w:rsidR="00117A9A" w:rsidRPr="00F15D13" w:rsidRDefault="00117A9A" w:rsidP="00B237B7">
            <w:pPr>
              <w:shd w:val="clear" w:color="auto" w:fill="FFFFFF"/>
              <w:tabs>
                <w:tab w:val="center" w:pos="4320"/>
                <w:tab w:val="right" w:pos="8640"/>
              </w:tabs>
              <w:spacing w:after="240"/>
              <w:rPr>
                <w:color w:val="000000"/>
                <w:sz w:val="24"/>
                <w:szCs w:val="24"/>
              </w:rPr>
            </w:pPr>
            <w:r w:rsidRPr="00F15D13">
              <w:rPr>
                <w:color w:val="000000"/>
                <w:sz w:val="24"/>
                <w:szCs w:val="24"/>
              </w:rPr>
              <w:lastRenderedPageBreak/>
              <w:t>The Basic Care and NF Add-on rates are not risk adjusted (see section</w:t>
            </w:r>
            <w:r w:rsidR="00F15D13" w:rsidRPr="00F15D13">
              <w:rPr>
                <w:color w:val="000000"/>
                <w:sz w:val="24"/>
                <w:szCs w:val="24"/>
              </w:rPr>
              <w:t>s</w:t>
            </w:r>
            <w:r w:rsidRPr="00F15D13">
              <w:rPr>
                <w:color w:val="000000"/>
                <w:sz w:val="24"/>
                <w:szCs w:val="24"/>
              </w:rPr>
              <w:t xml:space="preserve"> </w:t>
            </w:r>
            <w:r w:rsidR="00F15D13" w:rsidRPr="00F15D13">
              <w:rPr>
                <w:color w:val="000000"/>
                <w:sz w:val="24"/>
                <w:szCs w:val="24"/>
              </w:rPr>
              <w:t>4.2.18</w:t>
            </w:r>
            <w:r w:rsidRPr="00F15D13">
              <w:rPr>
                <w:color w:val="000000"/>
                <w:sz w:val="24"/>
                <w:szCs w:val="24"/>
              </w:rPr>
              <w:t xml:space="preserve"> </w:t>
            </w:r>
            <w:r w:rsidR="00F15D13" w:rsidRPr="00F15D13">
              <w:rPr>
                <w:color w:val="000000"/>
                <w:sz w:val="24"/>
                <w:szCs w:val="24"/>
              </w:rPr>
              <w:t>and 4.2.19</w:t>
            </w:r>
            <w:r w:rsidR="00E920B5" w:rsidRPr="00F15D13">
              <w:rPr>
                <w:color w:val="000000"/>
                <w:sz w:val="24"/>
                <w:szCs w:val="24"/>
              </w:rPr>
              <w:t xml:space="preserve"> </w:t>
            </w:r>
            <w:r w:rsidRPr="00F15D13">
              <w:rPr>
                <w:color w:val="000000"/>
                <w:sz w:val="24"/>
                <w:szCs w:val="24"/>
              </w:rPr>
              <w:t>of the contract).</w:t>
            </w:r>
          </w:p>
          <w:p w14:paraId="79BA5D7E" w14:textId="77777777" w:rsidR="007C7803" w:rsidRPr="00002E20" w:rsidRDefault="007C7803" w:rsidP="00B237B7">
            <w:pPr>
              <w:shd w:val="clear" w:color="auto" w:fill="FFFFFF"/>
              <w:tabs>
                <w:tab w:val="center" w:pos="4320"/>
                <w:tab w:val="right" w:pos="8640"/>
              </w:tabs>
              <w:spacing w:after="240"/>
              <w:rPr>
                <w:color w:val="000000"/>
                <w:sz w:val="24"/>
                <w:szCs w:val="24"/>
                <w:u w:val="single"/>
              </w:rPr>
            </w:pPr>
            <w:r w:rsidRPr="00F15D13">
              <w:rPr>
                <w:color w:val="000000"/>
                <w:sz w:val="24"/>
                <w:szCs w:val="24"/>
                <w:u w:val="single"/>
              </w:rPr>
              <w:t>EW Add-On</w:t>
            </w:r>
          </w:p>
          <w:p w14:paraId="7DA19FE2" w14:textId="70417865" w:rsidR="007C7803" w:rsidRPr="006903CB" w:rsidRDefault="007C7803" w:rsidP="00FE7D3C">
            <w:pPr>
              <w:shd w:val="clear" w:color="auto" w:fill="FFFFFF"/>
              <w:tabs>
                <w:tab w:val="center" w:pos="4320"/>
                <w:tab w:val="right" w:pos="8640"/>
              </w:tabs>
              <w:spacing w:after="240"/>
            </w:pPr>
            <w:r>
              <w:rPr>
                <w:color w:val="000000"/>
                <w:sz w:val="24"/>
                <w:szCs w:val="24"/>
              </w:rPr>
              <w:t xml:space="preserve">The </w:t>
            </w:r>
            <w:r w:rsidR="00117A9A">
              <w:rPr>
                <w:color w:val="000000"/>
                <w:sz w:val="24"/>
                <w:szCs w:val="24"/>
              </w:rPr>
              <w:t xml:space="preserve">EW </w:t>
            </w:r>
            <w:r>
              <w:rPr>
                <w:color w:val="000000"/>
                <w:sz w:val="24"/>
                <w:szCs w:val="24"/>
              </w:rPr>
              <w:t xml:space="preserve">risk adjustment factors include area, ADL, age, and customized living / corporate foster care.  The overall area, ADL, and age factors will be recalculated annually based on the MCO’s membership at the beginning of the contact year. </w:t>
            </w:r>
            <w:r w:rsidR="00FE7D3C">
              <w:rPr>
                <w:color w:val="000000"/>
                <w:sz w:val="24"/>
                <w:szCs w:val="24"/>
              </w:rPr>
              <w:t xml:space="preserve">EW risk adjustment is discussed on pages 20-21 of the actuarial memo. </w:t>
            </w:r>
            <w:r>
              <w:rPr>
                <w:color w:val="000000"/>
                <w:sz w:val="24"/>
                <w:szCs w:val="24"/>
              </w:rPr>
              <w:t xml:space="preserve"> </w:t>
            </w:r>
          </w:p>
        </w:tc>
      </w:tr>
      <w:tr w:rsidR="007C7803" w14:paraId="7E71DE12" w14:textId="77777777" w:rsidTr="007C7803">
        <w:tc>
          <w:tcPr>
            <w:tcW w:w="2268" w:type="dxa"/>
            <w:shd w:val="clear" w:color="auto" w:fill="auto"/>
          </w:tcPr>
          <w:p w14:paraId="4221CE3C" w14:textId="6B899BAE" w:rsidR="007C7803" w:rsidRPr="00B237B7" w:rsidRDefault="007C7803" w:rsidP="00E920B5">
            <w:pPr>
              <w:spacing w:after="240"/>
              <w:rPr>
                <w:rFonts w:ascii="Calibri" w:hAnsi="Calibri" w:cs="Calibri"/>
              </w:rPr>
            </w:pPr>
            <w:r w:rsidRPr="00016DD6">
              <w:rPr>
                <w:rFonts w:ascii="Calibri" w:hAnsi="Calibri" w:cs="Calibri"/>
              </w:rPr>
              <w:lastRenderedPageBreak/>
              <w:t xml:space="preserve">AA.6.0-6.3  </w:t>
            </w:r>
            <w:r w:rsidR="00E920B5">
              <w:rPr>
                <w:rFonts w:ascii="Calibri" w:hAnsi="Calibri" w:cs="Calibri"/>
              </w:rPr>
              <w:t xml:space="preserve"> </w:t>
            </w:r>
            <w:r>
              <w:rPr>
                <w:rFonts w:ascii="Calibri" w:hAnsi="Calibri" w:cs="Calibri"/>
              </w:rPr>
              <w:t xml:space="preserve">If these options are offered, they must be documented in the contract. </w:t>
            </w:r>
          </w:p>
        </w:tc>
        <w:tc>
          <w:tcPr>
            <w:tcW w:w="7337" w:type="dxa"/>
            <w:shd w:val="clear" w:color="auto" w:fill="auto"/>
          </w:tcPr>
          <w:p w14:paraId="25F1B249" w14:textId="77777777" w:rsidR="007C7803" w:rsidRDefault="007C7803" w:rsidP="00B237B7">
            <w:pPr>
              <w:shd w:val="clear" w:color="auto" w:fill="FFFFFF"/>
              <w:tabs>
                <w:tab w:val="center" w:pos="4320"/>
                <w:tab w:val="right" w:pos="8640"/>
              </w:tabs>
              <w:spacing w:after="240"/>
            </w:pPr>
            <w:r w:rsidRPr="00B237B7">
              <w:rPr>
                <w:b/>
                <w:bCs/>
                <w:color w:val="000000"/>
                <w:sz w:val="24"/>
                <w:szCs w:val="24"/>
              </w:rPr>
              <w:t>Stop Loss, Reinsurance, or Risk-sharing arrangements</w:t>
            </w:r>
          </w:p>
          <w:p w14:paraId="44514FDE" w14:textId="124588FB" w:rsidR="007C7803" w:rsidRPr="00B237B7" w:rsidRDefault="007C7803" w:rsidP="00386E43">
            <w:pPr>
              <w:shd w:val="clear" w:color="auto" w:fill="FFFFFF"/>
              <w:tabs>
                <w:tab w:val="left" w:pos="1454"/>
                <w:tab w:val="center" w:pos="4320"/>
                <w:tab w:val="right" w:pos="8640"/>
              </w:tabs>
              <w:spacing w:after="240"/>
              <w:rPr>
                <w:b/>
                <w:color w:val="000000"/>
                <w:sz w:val="24"/>
                <w:szCs w:val="24"/>
              </w:rPr>
            </w:pPr>
            <w:r w:rsidRPr="00B237B7">
              <w:rPr>
                <w:color w:val="000000"/>
                <w:sz w:val="24"/>
                <w:szCs w:val="24"/>
              </w:rPr>
              <w:t xml:space="preserve">The State of Minnesota does not offer MCOs risk sharing or general stop-loss </w:t>
            </w:r>
            <w:r w:rsidRPr="00B237B7">
              <w:rPr>
                <w:color w:val="000000"/>
                <w:spacing w:val="-1"/>
                <w:sz w:val="24"/>
                <w:szCs w:val="24"/>
              </w:rPr>
              <w:t xml:space="preserve">insurance.  However, as a condition of licensure, the State does require that MCOs </w:t>
            </w:r>
            <w:r w:rsidRPr="00B237B7">
              <w:rPr>
                <w:color w:val="000000"/>
                <w:sz w:val="24"/>
                <w:szCs w:val="24"/>
              </w:rPr>
              <w:t xml:space="preserve">have minimum financial reserves, reinsurance or a guarantor of the reserve requirements.  </w:t>
            </w:r>
          </w:p>
        </w:tc>
      </w:tr>
      <w:tr w:rsidR="007C7803" w14:paraId="32CF0596" w14:textId="77777777" w:rsidTr="007C7803">
        <w:tc>
          <w:tcPr>
            <w:tcW w:w="2268" w:type="dxa"/>
            <w:shd w:val="clear" w:color="auto" w:fill="auto"/>
          </w:tcPr>
          <w:p w14:paraId="4053CECD" w14:textId="15EB9E72" w:rsidR="007C7803" w:rsidRPr="00B237B7" w:rsidRDefault="007C7803" w:rsidP="00E920B5">
            <w:pPr>
              <w:spacing w:after="240"/>
              <w:rPr>
                <w:rFonts w:ascii="Calibri" w:hAnsi="Calibri" w:cs="Calibri"/>
              </w:rPr>
            </w:pPr>
            <w:r w:rsidRPr="00016DD6">
              <w:rPr>
                <w:rFonts w:ascii="Calibri" w:hAnsi="Calibri" w:cs="Calibri"/>
              </w:rPr>
              <w:t>AA.7.0</w:t>
            </w:r>
            <w:r w:rsidRPr="00016DD6">
              <w:rPr>
                <w:rFonts w:ascii="Calibri" w:hAnsi="Calibri" w:cs="Calibri"/>
              </w:rPr>
              <w:tab/>
            </w:r>
            <w:r>
              <w:rPr>
                <w:rFonts w:ascii="Calibri" w:hAnsi="Calibri" w:cs="Calibri"/>
              </w:rPr>
              <w:t xml:space="preserve">Incentives must not result in more than 105% of the otherwise projected costs.  Incentives must be documented, must be for a fixed period and </w:t>
            </w:r>
            <w:r w:rsidRPr="003200DF">
              <w:rPr>
                <w:rFonts w:ascii="Calibri" w:hAnsi="Calibri" w:cs="Calibri"/>
              </w:rPr>
              <w:t>cannot auto-renew</w:t>
            </w:r>
            <w:r>
              <w:rPr>
                <w:rFonts w:ascii="Calibri" w:hAnsi="Calibri" w:cs="Calibri"/>
              </w:rPr>
              <w:t xml:space="preserve">. Incentives may not be conditioned on IGTs.   </w:t>
            </w:r>
          </w:p>
        </w:tc>
        <w:tc>
          <w:tcPr>
            <w:tcW w:w="7337" w:type="dxa"/>
            <w:shd w:val="clear" w:color="auto" w:fill="auto"/>
          </w:tcPr>
          <w:p w14:paraId="6A315CEC" w14:textId="77777777" w:rsidR="007C7803" w:rsidRDefault="007C7803" w:rsidP="00B237B7">
            <w:pPr>
              <w:shd w:val="clear" w:color="auto" w:fill="FFFFFF"/>
              <w:tabs>
                <w:tab w:val="left" w:pos="1447"/>
                <w:tab w:val="center" w:pos="4320"/>
                <w:tab w:val="right" w:pos="8640"/>
              </w:tabs>
              <w:spacing w:after="240"/>
            </w:pPr>
            <w:r w:rsidRPr="00B237B7">
              <w:rPr>
                <w:b/>
                <w:bCs/>
                <w:color w:val="000000"/>
                <w:sz w:val="24"/>
                <w:szCs w:val="24"/>
              </w:rPr>
              <w:t>Incentive Arrangements</w:t>
            </w:r>
          </w:p>
          <w:p w14:paraId="02C6AA65" w14:textId="08845E01" w:rsidR="007C7803" w:rsidRDefault="007C7803" w:rsidP="00B237B7">
            <w:pPr>
              <w:shd w:val="clear" w:color="auto" w:fill="FFFFFF"/>
              <w:tabs>
                <w:tab w:val="center" w:pos="4320"/>
                <w:tab w:val="right" w:pos="8640"/>
              </w:tabs>
              <w:spacing w:after="240"/>
            </w:pPr>
            <w:r w:rsidRPr="00B237B7">
              <w:rPr>
                <w:color w:val="000000"/>
                <w:spacing w:val="-1"/>
                <w:sz w:val="24"/>
                <w:szCs w:val="24"/>
              </w:rPr>
              <w:t>For</w:t>
            </w:r>
            <w:r w:rsidR="00117A9A">
              <w:t xml:space="preserve"> </w:t>
            </w:r>
            <w:r w:rsidR="00117A9A" w:rsidRPr="00117A9A">
              <w:rPr>
                <w:color w:val="000000"/>
                <w:spacing w:val="-1"/>
                <w:sz w:val="24"/>
                <w:szCs w:val="24"/>
              </w:rPr>
              <w:t>the upcoming year</w:t>
            </w:r>
            <w:r w:rsidRPr="00B237B7">
              <w:rPr>
                <w:color w:val="000000"/>
                <w:spacing w:val="-1"/>
                <w:sz w:val="24"/>
                <w:szCs w:val="24"/>
              </w:rPr>
              <w:t xml:space="preserve">, the State </w:t>
            </w:r>
            <w:r w:rsidR="00386E43">
              <w:rPr>
                <w:color w:val="000000"/>
                <w:spacing w:val="-1"/>
                <w:sz w:val="24"/>
                <w:szCs w:val="24"/>
              </w:rPr>
              <w:t xml:space="preserve">will </w:t>
            </w:r>
            <w:r w:rsidRPr="00B237B7">
              <w:rPr>
                <w:color w:val="000000"/>
                <w:spacing w:val="-1"/>
                <w:sz w:val="24"/>
                <w:szCs w:val="24"/>
              </w:rPr>
              <w:t>withhold 5</w:t>
            </w:r>
            <w:r w:rsidR="00386E43">
              <w:rPr>
                <w:color w:val="000000"/>
                <w:spacing w:val="-1"/>
                <w:sz w:val="24"/>
                <w:szCs w:val="24"/>
              </w:rPr>
              <w:t>.0</w:t>
            </w:r>
            <w:r w:rsidRPr="00B237B7">
              <w:rPr>
                <w:color w:val="000000"/>
                <w:spacing w:val="-1"/>
                <w:sz w:val="24"/>
                <w:szCs w:val="24"/>
              </w:rPr>
              <w:t xml:space="preserve">% of the capitation payments for all senior </w:t>
            </w:r>
            <w:r w:rsidRPr="00B237B7">
              <w:rPr>
                <w:color w:val="000000"/>
                <w:sz w:val="24"/>
                <w:szCs w:val="24"/>
              </w:rPr>
              <w:t xml:space="preserve">products as a performance incentive.  MCOs have a number of performance targets that they must meet to get full return of the withheld funds.  These </w:t>
            </w:r>
            <w:r w:rsidR="001853BF">
              <w:rPr>
                <w:color w:val="000000"/>
                <w:sz w:val="24"/>
                <w:szCs w:val="24"/>
              </w:rPr>
              <w:t xml:space="preserve">targets are listed in </w:t>
            </w:r>
            <w:r w:rsidR="00B0706F">
              <w:rPr>
                <w:color w:val="000000"/>
                <w:sz w:val="24"/>
                <w:szCs w:val="24"/>
              </w:rPr>
              <w:t xml:space="preserve">section 4.6 </w:t>
            </w:r>
            <w:r>
              <w:rPr>
                <w:color w:val="000000"/>
                <w:sz w:val="24"/>
                <w:szCs w:val="24"/>
              </w:rPr>
              <w:t xml:space="preserve">of </w:t>
            </w:r>
            <w:r w:rsidR="00B0706F">
              <w:rPr>
                <w:color w:val="000000"/>
                <w:sz w:val="24"/>
                <w:szCs w:val="24"/>
              </w:rPr>
              <w:t>the contract</w:t>
            </w:r>
            <w:r w:rsidRPr="00B237B7">
              <w:rPr>
                <w:color w:val="000000"/>
                <w:sz w:val="24"/>
                <w:szCs w:val="24"/>
              </w:rPr>
              <w:t xml:space="preserve">.  </w:t>
            </w:r>
            <w:r w:rsidR="00386E43" w:rsidRPr="00386E43">
              <w:rPr>
                <w:color w:val="000000"/>
                <w:sz w:val="24"/>
                <w:szCs w:val="24"/>
              </w:rPr>
              <w:t xml:space="preserve">Initial estimates indicate that at least 95% of the withheld funds will be repaid to MCOs for 2014  results.  </w:t>
            </w:r>
            <w:r w:rsidR="00610946" w:rsidRPr="00386E43">
              <w:rPr>
                <w:sz w:val="24"/>
                <w:szCs w:val="24"/>
              </w:rPr>
              <w:t xml:space="preserve">As noted on page </w:t>
            </w:r>
            <w:r w:rsidR="00610946">
              <w:rPr>
                <w:sz w:val="24"/>
                <w:szCs w:val="24"/>
              </w:rPr>
              <w:t>14</w:t>
            </w:r>
            <w:r w:rsidR="00610946" w:rsidRPr="00386E43">
              <w:rPr>
                <w:sz w:val="24"/>
                <w:szCs w:val="24"/>
              </w:rPr>
              <w:t xml:space="preserve"> of </w:t>
            </w:r>
            <w:r w:rsidR="00610946" w:rsidRPr="002D3BF0">
              <w:rPr>
                <w:sz w:val="24"/>
                <w:szCs w:val="24"/>
              </w:rPr>
              <w:t>Attachment A</w:t>
            </w:r>
            <w:r w:rsidR="00610946" w:rsidRPr="00386E43">
              <w:rPr>
                <w:sz w:val="24"/>
                <w:szCs w:val="24"/>
              </w:rPr>
              <w:t xml:space="preserve"> withhold losses are limited to approximately 0.25% of total capitation by a loss limit.</w:t>
            </w:r>
          </w:p>
          <w:p w14:paraId="1A83A44F" w14:textId="1DCAF126" w:rsidR="007C7803" w:rsidRPr="00B237B7" w:rsidRDefault="00EE49B6" w:rsidP="00B237B7">
            <w:pPr>
              <w:tabs>
                <w:tab w:val="left" w:pos="-1440"/>
                <w:tab w:val="center" w:pos="4320"/>
                <w:tab w:val="right" w:pos="8640"/>
              </w:tabs>
              <w:spacing w:after="240"/>
              <w:rPr>
                <w:sz w:val="24"/>
                <w:szCs w:val="24"/>
              </w:rPr>
            </w:pPr>
            <w:r>
              <w:rPr>
                <w:sz w:val="24"/>
                <w:szCs w:val="24"/>
              </w:rPr>
              <w:t>T</w:t>
            </w:r>
            <w:r w:rsidR="007C7803" w:rsidRPr="00B237B7">
              <w:rPr>
                <w:sz w:val="24"/>
                <w:szCs w:val="24"/>
              </w:rPr>
              <w:t xml:space="preserve">he State </w:t>
            </w:r>
            <w:r>
              <w:rPr>
                <w:sz w:val="24"/>
                <w:szCs w:val="24"/>
              </w:rPr>
              <w:t xml:space="preserve">withholds </w:t>
            </w:r>
            <w:r w:rsidR="007C7803" w:rsidRPr="00B237B7">
              <w:rPr>
                <w:sz w:val="24"/>
                <w:szCs w:val="24"/>
              </w:rPr>
              <w:t xml:space="preserve">an additional </w:t>
            </w:r>
            <w:r>
              <w:rPr>
                <w:sz w:val="24"/>
                <w:szCs w:val="24"/>
              </w:rPr>
              <w:t xml:space="preserve">percentage </w:t>
            </w:r>
            <w:r w:rsidR="007C7803" w:rsidRPr="00B237B7">
              <w:rPr>
                <w:sz w:val="24"/>
                <w:szCs w:val="24"/>
              </w:rPr>
              <w:t>of the capitation payments, which will be paid to the MCOs in July</w:t>
            </w:r>
            <w:r>
              <w:rPr>
                <w:sz w:val="24"/>
                <w:szCs w:val="24"/>
              </w:rPr>
              <w:t xml:space="preserve"> of the year following the contract</w:t>
            </w:r>
            <w:r w:rsidR="007C7803" w:rsidRPr="00B237B7">
              <w:rPr>
                <w:sz w:val="24"/>
                <w:szCs w:val="24"/>
              </w:rPr>
              <w:t xml:space="preserve">.  The return of these withheld funds will not be contingent upon meeting performance targets. </w:t>
            </w:r>
          </w:p>
          <w:p w14:paraId="47432658" w14:textId="299E5F56" w:rsidR="007C7803" w:rsidRDefault="007C7803" w:rsidP="00B237B7">
            <w:pPr>
              <w:shd w:val="clear" w:color="auto" w:fill="FFFFFF"/>
              <w:tabs>
                <w:tab w:val="center" w:pos="4320"/>
                <w:tab w:val="right" w:pos="8640"/>
              </w:tabs>
              <w:spacing w:after="240"/>
            </w:pPr>
            <w:r w:rsidRPr="000F087C">
              <w:rPr>
                <w:color w:val="000000"/>
                <w:sz w:val="24"/>
                <w:szCs w:val="24"/>
              </w:rPr>
              <w:t xml:space="preserve">In addition to the withheld funds, incentive payments over and above the capitation payments may be made as </w:t>
            </w:r>
            <w:r w:rsidRPr="00B0706F">
              <w:rPr>
                <w:color w:val="000000"/>
                <w:sz w:val="24"/>
                <w:szCs w:val="24"/>
              </w:rPr>
              <w:t>well.  Incentive payments will be based on the number of selected services provided during the year as specified in section 7.14</w:t>
            </w:r>
            <w:r w:rsidR="00E920B5" w:rsidRPr="00B0706F">
              <w:rPr>
                <w:color w:val="000000"/>
                <w:sz w:val="24"/>
                <w:szCs w:val="24"/>
              </w:rPr>
              <w:t>.4</w:t>
            </w:r>
            <w:r w:rsidRPr="00B0706F">
              <w:rPr>
                <w:color w:val="000000"/>
                <w:sz w:val="24"/>
                <w:szCs w:val="24"/>
              </w:rPr>
              <w:t xml:space="preserve"> of the Seniors contract.  All incentives are based on approved State Plan services to </w:t>
            </w:r>
            <w:r w:rsidRPr="00B0706F">
              <w:rPr>
                <w:color w:val="000000"/>
                <w:spacing w:val="-1"/>
                <w:sz w:val="24"/>
                <w:szCs w:val="24"/>
              </w:rPr>
              <w:t>Medicaid eligible beneficiaries.  The incentives are for</w:t>
            </w:r>
            <w:r w:rsidRPr="000F087C">
              <w:rPr>
                <w:color w:val="000000"/>
                <w:spacing w:val="-1"/>
                <w:sz w:val="24"/>
                <w:szCs w:val="24"/>
              </w:rPr>
              <w:t xml:space="preserve"> a one year contract period.  </w:t>
            </w:r>
            <w:r w:rsidRPr="000F087C">
              <w:rPr>
                <w:color w:val="000000"/>
                <w:sz w:val="24"/>
                <w:szCs w:val="24"/>
              </w:rPr>
              <w:t>Each year, the State determines whether the incentives should be continued and other incentives added.  Incentives are not based upon intergovernmental transfer agreements.  Incentives are</w:t>
            </w:r>
            <w:r w:rsidRPr="00B237B7">
              <w:rPr>
                <w:color w:val="000000"/>
                <w:sz w:val="24"/>
                <w:szCs w:val="24"/>
              </w:rPr>
              <w:t xml:space="preserve"> available to both public and private MCOs.</w:t>
            </w:r>
          </w:p>
          <w:p w14:paraId="7622DEEC" w14:textId="77777777" w:rsidR="007C7803" w:rsidRPr="00B237B7" w:rsidRDefault="007C7803" w:rsidP="00890E2A">
            <w:pPr>
              <w:shd w:val="clear" w:color="auto" w:fill="FFFFFF"/>
              <w:tabs>
                <w:tab w:val="left" w:pos="1454"/>
                <w:tab w:val="center" w:pos="4320"/>
                <w:tab w:val="right" w:pos="8640"/>
              </w:tabs>
              <w:spacing w:after="240"/>
              <w:rPr>
                <w:b/>
                <w:color w:val="000000"/>
                <w:sz w:val="24"/>
                <w:szCs w:val="24"/>
              </w:rPr>
            </w:pPr>
            <w:r w:rsidRPr="00B237B7">
              <w:rPr>
                <w:color w:val="000000"/>
                <w:sz w:val="24"/>
                <w:szCs w:val="24"/>
              </w:rPr>
              <w:t xml:space="preserve">Total incentive payments to the MCO will be calculated.  It is not expected that </w:t>
            </w:r>
            <w:r w:rsidRPr="00B237B7">
              <w:rPr>
                <w:color w:val="000000"/>
                <w:spacing w:val="-1"/>
                <w:sz w:val="24"/>
                <w:szCs w:val="24"/>
              </w:rPr>
              <w:t xml:space="preserve">these additional payments will exceed 5% of the total </w:t>
            </w:r>
            <w:r w:rsidRPr="00B237B7">
              <w:rPr>
                <w:color w:val="000000"/>
                <w:spacing w:val="-1"/>
                <w:sz w:val="24"/>
                <w:szCs w:val="24"/>
              </w:rPr>
              <w:lastRenderedPageBreak/>
              <w:t xml:space="preserve">capitation payments in the </w:t>
            </w:r>
            <w:r w:rsidRPr="00B237B7">
              <w:rPr>
                <w:color w:val="000000"/>
                <w:sz w:val="24"/>
                <w:szCs w:val="24"/>
              </w:rPr>
              <w:t xml:space="preserve">specific rate cells covered by the incentive arrangement.  However, if an </w:t>
            </w:r>
            <w:r w:rsidRPr="00B0706F">
              <w:rPr>
                <w:color w:val="000000"/>
                <w:spacing w:val="-1"/>
                <w:sz w:val="24"/>
                <w:szCs w:val="24"/>
              </w:rPr>
              <w:t xml:space="preserve">adjustment is needed to bring the total below 5%, it will be done as required by </w:t>
            </w:r>
            <w:r w:rsidRPr="00B0706F">
              <w:rPr>
                <w:color w:val="000000"/>
                <w:sz w:val="24"/>
                <w:szCs w:val="24"/>
              </w:rPr>
              <w:t>section 7.14.2 of the Seniors</w:t>
            </w:r>
            <w:r>
              <w:rPr>
                <w:color w:val="000000"/>
                <w:sz w:val="24"/>
                <w:szCs w:val="24"/>
              </w:rPr>
              <w:t xml:space="preserve"> contract</w:t>
            </w:r>
            <w:r w:rsidRPr="00B237B7">
              <w:rPr>
                <w:color w:val="000000"/>
                <w:sz w:val="24"/>
                <w:szCs w:val="24"/>
              </w:rPr>
              <w:t>.</w:t>
            </w:r>
          </w:p>
        </w:tc>
      </w:tr>
    </w:tbl>
    <w:p w14:paraId="4B161D17" w14:textId="77777777" w:rsidR="00371856" w:rsidRDefault="00FA3EEE" w:rsidP="004D4FA3">
      <w:pPr>
        <w:shd w:val="clear" w:color="auto" w:fill="FFFFFF"/>
        <w:ind w:left="1447"/>
        <w:rPr>
          <w:rFonts w:ascii="Arial" w:cs="Arial"/>
          <w:color w:val="000000"/>
          <w:sz w:val="24"/>
          <w:szCs w:val="24"/>
        </w:rPr>
      </w:pPr>
      <w:r>
        <w:rPr>
          <w:rFonts w:ascii="Arial" w:cs="Arial"/>
          <w:color w:val="000000"/>
          <w:sz w:val="24"/>
          <w:szCs w:val="24"/>
        </w:rPr>
        <w:lastRenderedPageBreak/>
        <w:tab/>
      </w:r>
    </w:p>
    <w:p w14:paraId="10A4CDF1" w14:textId="77777777" w:rsidR="00047A55" w:rsidRDefault="00047A55" w:rsidP="004D4FA3">
      <w:pPr>
        <w:shd w:val="clear" w:color="auto" w:fill="FFFFFF"/>
        <w:ind w:left="1447"/>
        <w:rPr>
          <w:rFonts w:ascii="Arial" w:cs="Arial"/>
          <w:color w:val="000000"/>
          <w:sz w:val="24"/>
          <w:szCs w:val="24"/>
        </w:rPr>
      </w:pPr>
    </w:p>
    <w:p w14:paraId="1D7D5857" w14:textId="77777777" w:rsidR="00047A55" w:rsidRDefault="00047A55" w:rsidP="004D4FA3">
      <w:pPr>
        <w:shd w:val="clear" w:color="auto" w:fill="FFFFFF"/>
        <w:ind w:left="1447"/>
        <w:rPr>
          <w:rFonts w:ascii="Arial" w:cs="Arial"/>
          <w:color w:val="000000"/>
          <w:sz w:val="24"/>
          <w:szCs w:val="24"/>
        </w:rPr>
      </w:pPr>
    </w:p>
    <w:p w14:paraId="6CB2C783" w14:textId="48C48C9D" w:rsidR="00047A55" w:rsidRPr="00047A55" w:rsidRDefault="00047A55" w:rsidP="004D4FA3">
      <w:pPr>
        <w:shd w:val="clear" w:color="auto" w:fill="FFFFFF"/>
        <w:ind w:left="1447"/>
        <w:rPr>
          <w:color w:val="BFBFBF" w:themeColor="background1" w:themeShade="BF"/>
          <w:sz w:val="18"/>
        </w:rPr>
      </w:pPr>
      <w:r w:rsidRPr="00047A55">
        <w:rPr>
          <w:color w:val="BFBFBF" w:themeColor="background1" w:themeShade="BF"/>
          <w:sz w:val="22"/>
          <w:szCs w:val="24"/>
        </w:rPr>
        <w:fldChar w:fldCharType="begin"/>
      </w:r>
      <w:r w:rsidRPr="00047A55">
        <w:rPr>
          <w:color w:val="BFBFBF" w:themeColor="background1" w:themeShade="BF"/>
          <w:sz w:val="22"/>
          <w:szCs w:val="24"/>
        </w:rPr>
        <w:instrText xml:space="preserve"> FILENAME   \* MERGEFORMAT </w:instrText>
      </w:r>
      <w:r w:rsidRPr="00047A55">
        <w:rPr>
          <w:color w:val="BFBFBF" w:themeColor="background1" w:themeShade="BF"/>
          <w:sz w:val="22"/>
          <w:szCs w:val="24"/>
        </w:rPr>
        <w:fldChar w:fldCharType="separate"/>
      </w:r>
      <w:r w:rsidRPr="00047A55">
        <w:rPr>
          <w:noProof/>
          <w:color w:val="BFBFBF" w:themeColor="background1" w:themeShade="BF"/>
          <w:sz w:val="22"/>
          <w:szCs w:val="24"/>
        </w:rPr>
        <w:t>Seniors_Checklist_for_2015_2014-12-30.docx</w:t>
      </w:r>
      <w:r w:rsidRPr="00047A55">
        <w:rPr>
          <w:color w:val="BFBFBF" w:themeColor="background1" w:themeShade="BF"/>
          <w:sz w:val="22"/>
          <w:szCs w:val="24"/>
        </w:rPr>
        <w:fldChar w:fldCharType="end"/>
      </w:r>
    </w:p>
    <w:sectPr w:rsidR="00047A55" w:rsidRPr="00047A55" w:rsidSect="00047A55">
      <w:type w:val="nextColumn"/>
      <w:pgSz w:w="12240" w:h="15840" w:code="1"/>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5A2C" w14:textId="77777777" w:rsidR="00E21725" w:rsidRDefault="00E21725">
      <w:r>
        <w:separator/>
      </w:r>
    </w:p>
  </w:endnote>
  <w:endnote w:type="continuationSeparator" w:id="0">
    <w:p w14:paraId="2602E7FD" w14:textId="77777777" w:rsidR="00E21725" w:rsidRDefault="00E21725">
      <w:r>
        <w:continuationSeparator/>
      </w:r>
    </w:p>
  </w:endnote>
  <w:endnote w:type="continuationNotice" w:id="1">
    <w:p w14:paraId="59A42156" w14:textId="77777777" w:rsidR="00E21725" w:rsidRDefault="00E2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CC77" w14:textId="77777777" w:rsidR="00E21725" w:rsidRDefault="00E21725" w:rsidP="00FA3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ADA95" w14:textId="77777777" w:rsidR="00E21725" w:rsidRDefault="00E21725" w:rsidP="00FA3E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28190078"/>
      <w:docPartObj>
        <w:docPartGallery w:val="Page Numbers (Bottom of Page)"/>
        <w:docPartUnique/>
      </w:docPartObj>
    </w:sdtPr>
    <w:sdtEndPr>
      <w:rPr>
        <w:noProof/>
      </w:rPr>
    </w:sdtEndPr>
    <w:sdtContent>
      <w:p w14:paraId="2247E760" w14:textId="77777777" w:rsidR="00E21725" w:rsidRDefault="00E21725">
        <w:pPr>
          <w:pStyle w:val="Footer"/>
          <w:jc w:val="center"/>
        </w:pPr>
        <w:r>
          <w:t xml:space="preserve"> </w:t>
        </w:r>
        <w:r w:rsidRPr="00EB27D1">
          <w:t xml:space="preserve">MSHO / MSC+ </w:t>
        </w:r>
        <w:r>
          <w:tab/>
        </w:r>
        <w:r>
          <w:tab/>
        </w:r>
        <w:r>
          <w:fldChar w:fldCharType="begin"/>
        </w:r>
        <w:r>
          <w:instrText xml:space="preserve"> PAGE   \* MERGEFORMAT </w:instrText>
        </w:r>
        <w:r>
          <w:fldChar w:fldCharType="separate"/>
        </w:r>
        <w:r w:rsidR="00A90329">
          <w:rPr>
            <w:noProof/>
          </w:rPr>
          <w:t>2</w:t>
        </w:r>
        <w:r>
          <w:rPr>
            <w:noProof/>
          </w:rPr>
          <w:fldChar w:fldCharType="end"/>
        </w:r>
      </w:p>
    </w:sdtContent>
  </w:sdt>
  <w:p w14:paraId="3B841CED" w14:textId="77777777" w:rsidR="00E21725" w:rsidRDefault="00E21725" w:rsidP="004D4FA3">
    <w:pPr>
      <w:pStyle w:val="Footer"/>
      <w:tabs>
        <w:tab w:val="clear" w:pos="4320"/>
        <w:tab w:val="clear" w:pos="8640"/>
        <w:tab w:val="left" w:pos="552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FB85" w14:textId="77777777" w:rsidR="00E21725" w:rsidRDefault="00E21725">
      <w:r>
        <w:separator/>
      </w:r>
    </w:p>
  </w:footnote>
  <w:footnote w:type="continuationSeparator" w:id="0">
    <w:p w14:paraId="5787F0B5" w14:textId="77777777" w:rsidR="00E21725" w:rsidRDefault="00E21725">
      <w:r>
        <w:continuationSeparator/>
      </w:r>
    </w:p>
  </w:footnote>
  <w:footnote w:type="continuationNotice" w:id="1">
    <w:p w14:paraId="0E597495" w14:textId="77777777" w:rsidR="00E21725" w:rsidRDefault="00E2172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882CE6"/>
    <w:lvl w:ilvl="0">
      <w:numFmt w:val="bullet"/>
      <w:lvlText w:val="*"/>
      <w:lvlJc w:val="left"/>
    </w:lvl>
  </w:abstractNum>
  <w:abstractNum w:abstractNumId="1">
    <w:nsid w:val="04960F98"/>
    <w:multiLevelType w:val="hybridMultilevel"/>
    <w:tmpl w:val="007AA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1E0A"/>
    <w:multiLevelType w:val="singleLevel"/>
    <w:tmpl w:val="49362BA4"/>
    <w:lvl w:ilvl="0">
      <w:start w:val="1"/>
      <w:numFmt w:val="lowerLetter"/>
      <w:lvlText w:val="(%1)"/>
      <w:legacy w:legacy="1" w:legacySpace="0" w:legacyIndent="280"/>
      <w:lvlJc w:val="left"/>
      <w:rPr>
        <w:rFonts w:ascii="Arial" w:hAnsi="Arial" w:cs="Arial" w:hint="default"/>
      </w:rPr>
    </w:lvl>
  </w:abstractNum>
  <w:abstractNum w:abstractNumId="3">
    <w:nsid w:val="137A5D45"/>
    <w:multiLevelType w:val="hybridMultilevel"/>
    <w:tmpl w:val="C564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3D32"/>
    <w:multiLevelType w:val="hybridMultilevel"/>
    <w:tmpl w:val="F5C8BC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B0242"/>
    <w:multiLevelType w:val="singleLevel"/>
    <w:tmpl w:val="7D9EA56C"/>
    <w:lvl w:ilvl="0">
      <w:start w:val="1"/>
      <w:numFmt w:val="decimal"/>
      <w:lvlText w:val="(%1)"/>
      <w:legacy w:legacy="1" w:legacySpace="0" w:legacyIndent="331"/>
      <w:lvlJc w:val="left"/>
      <w:rPr>
        <w:rFonts w:ascii="Arial" w:hAnsi="Arial" w:cs="Arial" w:hint="default"/>
      </w:rPr>
    </w:lvl>
  </w:abstractNum>
  <w:abstractNum w:abstractNumId="6">
    <w:nsid w:val="35180987"/>
    <w:multiLevelType w:val="hybridMultilevel"/>
    <w:tmpl w:val="4CE4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3639EE"/>
    <w:multiLevelType w:val="hybridMultilevel"/>
    <w:tmpl w:val="43DA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86608"/>
    <w:multiLevelType w:val="hybridMultilevel"/>
    <w:tmpl w:val="40CE96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B81949"/>
    <w:multiLevelType w:val="singleLevel"/>
    <w:tmpl w:val="6A140C3A"/>
    <w:lvl w:ilvl="0">
      <w:start w:val="1"/>
      <w:numFmt w:val="decimal"/>
      <w:lvlText w:val="%1."/>
      <w:legacy w:legacy="1" w:legacySpace="0" w:legacyIndent="353"/>
      <w:lvlJc w:val="left"/>
      <w:rPr>
        <w:rFonts w:ascii="Arial" w:hAnsi="Arial" w:cs="Arial" w:hint="default"/>
      </w:rPr>
    </w:lvl>
  </w:abstractNum>
  <w:abstractNum w:abstractNumId="10">
    <w:nsid w:val="55E33795"/>
    <w:multiLevelType w:val="hybridMultilevel"/>
    <w:tmpl w:val="3B54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26C74"/>
    <w:multiLevelType w:val="hybridMultilevel"/>
    <w:tmpl w:val="07C0C71A"/>
    <w:lvl w:ilvl="0" w:tplc="EBA6F48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764C7D"/>
    <w:multiLevelType w:val="singleLevel"/>
    <w:tmpl w:val="2C24CD0A"/>
    <w:lvl w:ilvl="0">
      <w:start w:val="1"/>
      <w:numFmt w:val="decimal"/>
      <w:lvlText w:val="%1."/>
      <w:legacy w:legacy="1" w:legacySpace="0" w:legacyIndent="338"/>
      <w:lvlJc w:val="left"/>
      <w:rPr>
        <w:rFonts w:ascii="Arial" w:hAnsi="Arial" w:cs="Arial" w:hint="default"/>
      </w:rPr>
    </w:lvl>
  </w:abstractNum>
  <w:abstractNum w:abstractNumId="13">
    <w:nsid w:val="6693625C"/>
    <w:multiLevelType w:val="hybridMultilevel"/>
    <w:tmpl w:val="49AA8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A0051"/>
    <w:multiLevelType w:val="singleLevel"/>
    <w:tmpl w:val="88B888E4"/>
    <w:lvl w:ilvl="0">
      <w:start w:val="1"/>
      <w:numFmt w:val="upperRoman"/>
      <w:lvlText w:val="%1."/>
      <w:legacy w:legacy="1" w:legacySpace="0" w:legacyIndent="691"/>
      <w:lvlJc w:val="left"/>
      <w:rPr>
        <w:rFonts w:ascii="Arial" w:hAnsi="Arial" w:cs="Arial" w:hint="default"/>
      </w:rPr>
    </w:lvl>
  </w:abstractNum>
  <w:abstractNum w:abstractNumId="15">
    <w:nsid w:val="70A66C71"/>
    <w:multiLevelType w:val="hybridMultilevel"/>
    <w:tmpl w:val="FA1A5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B5FB9"/>
    <w:multiLevelType w:val="multilevel"/>
    <w:tmpl w:val="F0A4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637B7D"/>
    <w:multiLevelType w:val="multilevel"/>
    <w:tmpl w:val="D88E56B4"/>
    <w:lvl w:ilvl="0">
      <w:start w:val="1"/>
      <w:numFmt w:val="upperRoman"/>
      <w:pStyle w:val="Heading1"/>
      <w:lvlText w:val="%1."/>
      <w:lvlJc w:val="left"/>
      <w:pPr>
        <w:tabs>
          <w:tab w:val="num" w:pos="360"/>
        </w:tabs>
        <w:ind w:left="0" w:firstLine="0"/>
      </w:pPr>
      <w:rPr>
        <w:rFonts w:ascii="Times New Roman" w:hAnsi="Times New Roman" w:hint="default"/>
        <w:b w:val="0"/>
        <w:i w:val="0"/>
        <w:sz w:val="24"/>
      </w:rPr>
    </w:lvl>
    <w:lvl w:ilvl="1">
      <w:start w:val="1"/>
      <w:numFmt w:val="upperLetter"/>
      <w:pStyle w:val="Heading2"/>
      <w:lvlText w:val="%2."/>
      <w:lvlJc w:val="left"/>
      <w:pPr>
        <w:tabs>
          <w:tab w:val="num" w:pos="1080"/>
        </w:tabs>
        <w:ind w:left="720" w:firstLine="0"/>
      </w:pPr>
      <w:rPr>
        <w:rFonts w:ascii="Times New Roman" w:hAnsi="Times New Roman" w:hint="default"/>
        <w:b w:val="0"/>
        <w:i w:val="0"/>
        <w:sz w:val="24"/>
      </w:rPr>
    </w:lvl>
    <w:lvl w:ilvl="2">
      <w:start w:val="1"/>
      <w:numFmt w:val="decimal"/>
      <w:pStyle w:val="Heading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98378E5"/>
    <w:multiLevelType w:val="hybridMultilevel"/>
    <w:tmpl w:val="5810B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lvl w:ilvl="0">
        <w:start w:val="65535"/>
        <w:numFmt w:val="bullet"/>
        <w:lvlText w:val="&gt;"/>
        <w:legacy w:legacy="1" w:legacySpace="0" w:legacyIndent="677"/>
        <w:lvlJc w:val="left"/>
        <w:rPr>
          <w:rFonts w:ascii="Arial" w:hAnsi="Arial" w:cs="Arial" w:hint="default"/>
        </w:rPr>
      </w:lvl>
    </w:lvlOverride>
  </w:num>
  <w:num w:numId="3">
    <w:abstractNumId w:val="0"/>
    <w:lvlOverride w:ilvl="0">
      <w:lvl w:ilvl="0">
        <w:start w:val="65535"/>
        <w:numFmt w:val="bullet"/>
        <w:lvlText w:val="&gt;"/>
        <w:legacy w:legacy="1" w:legacySpace="0" w:legacyIndent="676"/>
        <w:lvlJc w:val="left"/>
        <w:rPr>
          <w:rFonts w:ascii="Arial" w:hAnsi="Arial" w:cs="Arial" w:hint="default"/>
        </w:rPr>
      </w:lvl>
    </w:lvlOverride>
  </w:num>
  <w:num w:numId="4">
    <w:abstractNumId w:val="14"/>
  </w:num>
  <w:num w:numId="5">
    <w:abstractNumId w:val="2"/>
  </w:num>
  <w:num w:numId="6">
    <w:abstractNumId w:val="9"/>
  </w:num>
  <w:num w:numId="7">
    <w:abstractNumId w:val="5"/>
  </w:num>
  <w:num w:numId="8">
    <w:abstractNumId w:val="12"/>
  </w:num>
  <w:num w:numId="9">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11"/>
  </w:num>
  <w:num w:numId="12">
    <w:abstractNumId w:val="16"/>
  </w:num>
  <w:num w:numId="13">
    <w:abstractNumId w:val="8"/>
  </w:num>
  <w:num w:numId="14">
    <w:abstractNumId w:val="18"/>
  </w:num>
  <w:num w:numId="15">
    <w:abstractNumId w:val="10"/>
  </w:num>
  <w:num w:numId="16">
    <w:abstractNumId w:val="13"/>
  </w:num>
  <w:num w:numId="17">
    <w:abstractNumId w:val="15"/>
  </w:num>
  <w:num w:numId="18">
    <w:abstractNumId w:val="6"/>
  </w:num>
  <w:num w:numId="19">
    <w:abstractNumId w:val="4"/>
  </w:num>
  <w:num w:numId="20">
    <w:abstractNumId w:val="3"/>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A3EEE"/>
    <w:rsid w:val="00000C13"/>
    <w:rsid w:val="00002E20"/>
    <w:rsid w:val="00020469"/>
    <w:rsid w:val="00025A6D"/>
    <w:rsid w:val="00026355"/>
    <w:rsid w:val="00033B74"/>
    <w:rsid w:val="00033FE7"/>
    <w:rsid w:val="00043774"/>
    <w:rsid w:val="00047A55"/>
    <w:rsid w:val="00051C5F"/>
    <w:rsid w:val="00053169"/>
    <w:rsid w:val="00053C15"/>
    <w:rsid w:val="00057B81"/>
    <w:rsid w:val="00057E2D"/>
    <w:rsid w:val="00065635"/>
    <w:rsid w:val="00075573"/>
    <w:rsid w:val="00076623"/>
    <w:rsid w:val="000909F4"/>
    <w:rsid w:val="00092EAD"/>
    <w:rsid w:val="00095C6D"/>
    <w:rsid w:val="00096BB4"/>
    <w:rsid w:val="000A565C"/>
    <w:rsid w:val="000B1368"/>
    <w:rsid w:val="000B302F"/>
    <w:rsid w:val="000B6102"/>
    <w:rsid w:val="000C0CD4"/>
    <w:rsid w:val="000E30BF"/>
    <w:rsid w:val="000F087C"/>
    <w:rsid w:val="000F1A85"/>
    <w:rsid w:val="000F6D7E"/>
    <w:rsid w:val="000F7E79"/>
    <w:rsid w:val="00100F32"/>
    <w:rsid w:val="00106198"/>
    <w:rsid w:val="00106930"/>
    <w:rsid w:val="0011083B"/>
    <w:rsid w:val="00117A9A"/>
    <w:rsid w:val="00120A98"/>
    <w:rsid w:val="00135101"/>
    <w:rsid w:val="00157D44"/>
    <w:rsid w:val="001614B2"/>
    <w:rsid w:val="001619BF"/>
    <w:rsid w:val="00162BE6"/>
    <w:rsid w:val="00164430"/>
    <w:rsid w:val="00164737"/>
    <w:rsid w:val="001749A6"/>
    <w:rsid w:val="0017696F"/>
    <w:rsid w:val="00181A8F"/>
    <w:rsid w:val="00182CC6"/>
    <w:rsid w:val="001853BF"/>
    <w:rsid w:val="001A1A10"/>
    <w:rsid w:val="001A309B"/>
    <w:rsid w:val="001B6F7B"/>
    <w:rsid w:val="001B75C5"/>
    <w:rsid w:val="001C234C"/>
    <w:rsid w:val="001C70B5"/>
    <w:rsid w:val="001D5915"/>
    <w:rsid w:val="001E13FC"/>
    <w:rsid w:val="00203AAB"/>
    <w:rsid w:val="00210942"/>
    <w:rsid w:val="002110DA"/>
    <w:rsid w:val="00212133"/>
    <w:rsid w:val="00217EEB"/>
    <w:rsid w:val="00221C2A"/>
    <w:rsid w:val="00223734"/>
    <w:rsid w:val="002269CF"/>
    <w:rsid w:val="00230E78"/>
    <w:rsid w:val="00232600"/>
    <w:rsid w:val="00233499"/>
    <w:rsid w:val="002378C1"/>
    <w:rsid w:val="00244340"/>
    <w:rsid w:val="002462E4"/>
    <w:rsid w:val="002505C6"/>
    <w:rsid w:val="002513F6"/>
    <w:rsid w:val="00255088"/>
    <w:rsid w:val="00264FBE"/>
    <w:rsid w:val="002765C5"/>
    <w:rsid w:val="002817B6"/>
    <w:rsid w:val="002848E0"/>
    <w:rsid w:val="00286182"/>
    <w:rsid w:val="002906BF"/>
    <w:rsid w:val="0029102E"/>
    <w:rsid w:val="002B0E28"/>
    <w:rsid w:val="002B3194"/>
    <w:rsid w:val="002C5F58"/>
    <w:rsid w:val="002D3BF0"/>
    <w:rsid w:val="002D6E43"/>
    <w:rsid w:val="002D705B"/>
    <w:rsid w:val="002E108B"/>
    <w:rsid w:val="002E50B5"/>
    <w:rsid w:val="002E6B11"/>
    <w:rsid w:val="002F1B63"/>
    <w:rsid w:val="00302175"/>
    <w:rsid w:val="003052C6"/>
    <w:rsid w:val="0030577E"/>
    <w:rsid w:val="00310D28"/>
    <w:rsid w:val="00315FB4"/>
    <w:rsid w:val="003311B5"/>
    <w:rsid w:val="003341F9"/>
    <w:rsid w:val="003375C4"/>
    <w:rsid w:val="00342773"/>
    <w:rsid w:val="00345E45"/>
    <w:rsid w:val="0034602C"/>
    <w:rsid w:val="0034638D"/>
    <w:rsid w:val="003504EF"/>
    <w:rsid w:val="00355C6E"/>
    <w:rsid w:val="0037093F"/>
    <w:rsid w:val="00371856"/>
    <w:rsid w:val="00372CA3"/>
    <w:rsid w:val="0038699F"/>
    <w:rsid w:val="00386ACF"/>
    <w:rsid w:val="00386E43"/>
    <w:rsid w:val="003A4BF8"/>
    <w:rsid w:val="003A7EF1"/>
    <w:rsid w:val="003B5517"/>
    <w:rsid w:val="003D1DF0"/>
    <w:rsid w:val="003D43C2"/>
    <w:rsid w:val="003D469B"/>
    <w:rsid w:val="003D5D31"/>
    <w:rsid w:val="003E0D42"/>
    <w:rsid w:val="003E48D8"/>
    <w:rsid w:val="00400857"/>
    <w:rsid w:val="00400EC9"/>
    <w:rsid w:val="0040734D"/>
    <w:rsid w:val="0041074E"/>
    <w:rsid w:val="00413296"/>
    <w:rsid w:val="00417760"/>
    <w:rsid w:val="00417CDF"/>
    <w:rsid w:val="00440FFD"/>
    <w:rsid w:val="00447A3B"/>
    <w:rsid w:val="00447A72"/>
    <w:rsid w:val="00452C7B"/>
    <w:rsid w:val="00454A26"/>
    <w:rsid w:val="00454CD4"/>
    <w:rsid w:val="00460FB7"/>
    <w:rsid w:val="00473731"/>
    <w:rsid w:val="00482CCF"/>
    <w:rsid w:val="00487F7B"/>
    <w:rsid w:val="00492426"/>
    <w:rsid w:val="00496B63"/>
    <w:rsid w:val="004A0E51"/>
    <w:rsid w:val="004B2BF2"/>
    <w:rsid w:val="004C6B92"/>
    <w:rsid w:val="004C73B0"/>
    <w:rsid w:val="004D0EFD"/>
    <w:rsid w:val="004D2C2F"/>
    <w:rsid w:val="004D48A3"/>
    <w:rsid w:val="004D4FA3"/>
    <w:rsid w:val="004E0867"/>
    <w:rsid w:val="004E5809"/>
    <w:rsid w:val="004F73A6"/>
    <w:rsid w:val="00502882"/>
    <w:rsid w:val="00506F22"/>
    <w:rsid w:val="00525DDB"/>
    <w:rsid w:val="0052623C"/>
    <w:rsid w:val="00533599"/>
    <w:rsid w:val="00533FEE"/>
    <w:rsid w:val="005435C1"/>
    <w:rsid w:val="00543600"/>
    <w:rsid w:val="00545572"/>
    <w:rsid w:val="00546068"/>
    <w:rsid w:val="00547452"/>
    <w:rsid w:val="00550C0A"/>
    <w:rsid w:val="0055295F"/>
    <w:rsid w:val="005555A7"/>
    <w:rsid w:val="005571A8"/>
    <w:rsid w:val="005607B6"/>
    <w:rsid w:val="0056372F"/>
    <w:rsid w:val="00563E50"/>
    <w:rsid w:val="005652D5"/>
    <w:rsid w:val="0057164E"/>
    <w:rsid w:val="00572350"/>
    <w:rsid w:val="00583701"/>
    <w:rsid w:val="005A08D6"/>
    <w:rsid w:val="005A1E96"/>
    <w:rsid w:val="005A1FBC"/>
    <w:rsid w:val="005A6F3A"/>
    <w:rsid w:val="005C71BD"/>
    <w:rsid w:val="005C7858"/>
    <w:rsid w:val="005E768B"/>
    <w:rsid w:val="005F0ED3"/>
    <w:rsid w:val="005F2A18"/>
    <w:rsid w:val="005F4150"/>
    <w:rsid w:val="0060131A"/>
    <w:rsid w:val="00610946"/>
    <w:rsid w:val="006128A2"/>
    <w:rsid w:val="0062270A"/>
    <w:rsid w:val="00622996"/>
    <w:rsid w:val="006239EA"/>
    <w:rsid w:val="00630F77"/>
    <w:rsid w:val="00635E44"/>
    <w:rsid w:val="00647A64"/>
    <w:rsid w:val="00653171"/>
    <w:rsid w:val="006541F2"/>
    <w:rsid w:val="00656078"/>
    <w:rsid w:val="00666302"/>
    <w:rsid w:val="006706F2"/>
    <w:rsid w:val="00670C1C"/>
    <w:rsid w:val="00686470"/>
    <w:rsid w:val="006938CE"/>
    <w:rsid w:val="006A4940"/>
    <w:rsid w:val="006A4D15"/>
    <w:rsid w:val="006A4DB6"/>
    <w:rsid w:val="006B1FCB"/>
    <w:rsid w:val="006B3C99"/>
    <w:rsid w:val="006C424C"/>
    <w:rsid w:val="006C4C7C"/>
    <w:rsid w:val="006C50E0"/>
    <w:rsid w:val="006C5D3E"/>
    <w:rsid w:val="006C6A8E"/>
    <w:rsid w:val="006D6137"/>
    <w:rsid w:val="006D624F"/>
    <w:rsid w:val="006D6B46"/>
    <w:rsid w:val="006D7663"/>
    <w:rsid w:val="006E0D0A"/>
    <w:rsid w:val="007103EB"/>
    <w:rsid w:val="007149A4"/>
    <w:rsid w:val="00716462"/>
    <w:rsid w:val="007245B0"/>
    <w:rsid w:val="0073073B"/>
    <w:rsid w:val="0073121C"/>
    <w:rsid w:val="00737424"/>
    <w:rsid w:val="007405B6"/>
    <w:rsid w:val="00745600"/>
    <w:rsid w:val="00745F71"/>
    <w:rsid w:val="00747118"/>
    <w:rsid w:val="00757E4E"/>
    <w:rsid w:val="007656E6"/>
    <w:rsid w:val="00787E80"/>
    <w:rsid w:val="00790B69"/>
    <w:rsid w:val="00794F0B"/>
    <w:rsid w:val="00795525"/>
    <w:rsid w:val="00797C05"/>
    <w:rsid w:val="007A13C7"/>
    <w:rsid w:val="007A3094"/>
    <w:rsid w:val="007A323C"/>
    <w:rsid w:val="007B1370"/>
    <w:rsid w:val="007B37E3"/>
    <w:rsid w:val="007C0884"/>
    <w:rsid w:val="007C3022"/>
    <w:rsid w:val="007C39D7"/>
    <w:rsid w:val="007C6E21"/>
    <w:rsid w:val="007C7803"/>
    <w:rsid w:val="007D22D1"/>
    <w:rsid w:val="007E03F1"/>
    <w:rsid w:val="007E36E4"/>
    <w:rsid w:val="007E4F24"/>
    <w:rsid w:val="007F385E"/>
    <w:rsid w:val="007F57DA"/>
    <w:rsid w:val="007F5B41"/>
    <w:rsid w:val="007F5DD4"/>
    <w:rsid w:val="0080066A"/>
    <w:rsid w:val="008011C7"/>
    <w:rsid w:val="00807654"/>
    <w:rsid w:val="00810763"/>
    <w:rsid w:val="00814BF2"/>
    <w:rsid w:val="00820E15"/>
    <w:rsid w:val="008213E9"/>
    <w:rsid w:val="00821808"/>
    <w:rsid w:val="0082768A"/>
    <w:rsid w:val="0083186D"/>
    <w:rsid w:val="00832570"/>
    <w:rsid w:val="00847698"/>
    <w:rsid w:val="008544F5"/>
    <w:rsid w:val="008612E1"/>
    <w:rsid w:val="00863919"/>
    <w:rsid w:val="00872B70"/>
    <w:rsid w:val="00883025"/>
    <w:rsid w:val="00890E2A"/>
    <w:rsid w:val="0089580F"/>
    <w:rsid w:val="00895BFC"/>
    <w:rsid w:val="008A561C"/>
    <w:rsid w:val="008A6FA1"/>
    <w:rsid w:val="008A7FFC"/>
    <w:rsid w:val="008B2118"/>
    <w:rsid w:val="008B59BF"/>
    <w:rsid w:val="008C2240"/>
    <w:rsid w:val="008C243F"/>
    <w:rsid w:val="008E0194"/>
    <w:rsid w:val="008E675B"/>
    <w:rsid w:val="008E765B"/>
    <w:rsid w:val="008F30B2"/>
    <w:rsid w:val="008F4AFD"/>
    <w:rsid w:val="0090379A"/>
    <w:rsid w:val="00907722"/>
    <w:rsid w:val="00907A67"/>
    <w:rsid w:val="00910505"/>
    <w:rsid w:val="009203D4"/>
    <w:rsid w:val="00921FD5"/>
    <w:rsid w:val="00922DA0"/>
    <w:rsid w:val="009301C7"/>
    <w:rsid w:val="0093040D"/>
    <w:rsid w:val="009317B4"/>
    <w:rsid w:val="00944D85"/>
    <w:rsid w:val="00946616"/>
    <w:rsid w:val="00947951"/>
    <w:rsid w:val="00957ACC"/>
    <w:rsid w:val="009616BE"/>
    <w:rsid w:val="00961C1E"/>
    <w:rsid w:val="00963F7C"/>
    <w:rsid w:val="00970C33"/>
    <w:rsid w:val="00976D26"/>
    <w:rsid w:val="00980A27"/>
    <w:rsid w:val="009B33F4"/>
    <w:rsid w:val="009C41F2"/>
    <w:rsid w:val="009D7DA4"/>
    <w:rsid w:val="009E1EB7"/>
    <w:rsid w:val="009E325F"/>
    <w:rsid w:val="009F0317"/>
    <w:rsid w:val="00A07C29"/>
    <w:rsid w:val="00A11F02"/>
    <w:rsid w:val="00A12489"/>
    <w:rsid w:val="00A13E8B"/>
    <w:rsid w:val="00A2170D"/>
    <w:rsid w:val="00A2306E"/>
    <w:rsid w:val="00A25511"/>
    <w:rsid w:val="00A33C12"/>
    <w:rsid w:val="00A36A6A"/>
    <w:rsid w:val="00A83457"/>
    <w:rsid w:val="00A90329"/>
    <w:rsid w:val="00A91E9B"/>
    <w:rsid w:val="00A955E0"/>
    <w:rsid w:val="00AA0BD1"/>
    <w:rsid w:val="00AB1C71"/>
    <w:rsid w:val="00AC07B3"/>
    <w:rsid w:val="00AC57DA"/>
    <w:rsid w:val="00AD302D"/>
    <w:rsid w:val="00AD332D"/>
    <w:rsid w:val="00AD53FD"/>
    <w:rsid w:val="00AD7313"/>
    <w:rsid w:val="00AE174B"/>
    <w:rsid w:val="00AE5F0E"/>
    <w:rsid w:val="00AF106B"/>
    <w:rsid w:val="00B00112"/>
    <w:rsid w:val="00B01037"/>
    <w:rsid w:val="00B01217"/>
    <w:rsid w:val="00B02EF6"/>
    <w:rsid w:val="00B03DC6"/>
    <w:rsid w:val="00B0706F"/>
    <w:rsid w:val="00B13BA4"/>
    <w:rsid w:val="00B16083"/>
    <w:rsid w:val="00B237B7"/>
    <w:rsid w:val="00B27AB9"/>
    <w:rsid w:val="00B30736"/>
    <w:rsid w:val="00B329C2"/>
    <w:rsid w:val="00B33782"/>
    <w:rsid w:val="00B516C0"/>
    <w:rsid w:val="00B71BDB"/>
    <w:rsid w:val="00B73A0D"/>
    <w:rsid w:val="00B750B4"/>
    <w:rsid w:val="00B81457"/>
    <w:rsid w:val="00B909B3"/>
    <w:rsid w:val="00B92F2D"/>
    <w:rsid w:val="00B956A0"/>
    <w:rsid w:val="00B97AA4"/>
    <w:rsid w:val="00BA6D14"/>
    <w:rsid w:val="00BB4E4D"/>
    <w:rsid w:val="00BB6A4D"/>
    <w:rsid w:val="00BD3769"/>
    <w:rsid w:val="00BE1821"/>
    <w:rsid w:val="00BE3D28"/>
    <w:rsid w:val="00BE5838"/>
    <w:rsid w:val="00BF2E55"/>
    <w:rsid w:val="00BF6E30"/>
    <w:rsid w:val="00C0525B"/>
    <w:rsid w:val="00C171D4"/>
    <w:rsid w:val="00C17D7F"/>
    <w:rsid w:val="00C21DCE"/>
    <w:rsid w:val="00C23520"/>
    <w:rsid w:val="00C23D0A"/>
    <w:rsid w:val="00C25333"/>
    <w:rsid w:val="00C2721E"/>
    <w:rsid w:val="00C31D84"/>
    <w:rsid w:val="00C443D7"/>
    <w:rsid w:val="00C62530"/>
    <w:rsid w:val="00C63C0F"/>
    <w:rsid w:val="00C654D3"/>
    <w:rsid w:val="00C661C1"/>
    <w:rsid w:val="00C66595"/>
    <w:rsid w:val="00C71DC1"/>
    <w:rsid w:val="00C76FFA"/>
    <w:rsid w:val="00C87AD5"/>
    <w:rsid w:val="00CA0C20"/>
    <w:rsid w:val="00CC5378"/>
    <w:rsid w:val="00CD0EA9"/>
    <w:rsid w:val="00CD1CE0"/>
    <w:rsid w:val="00CE1E21"/>
    <w:rsid w:val="00CE5278"/>
    <w:rsid w:val="00CF32FA"/>
    <w:rsid w:val="00CF3F25"/>
    <w:rsid w:val="00CF5701"/>
    <w:rsid w:val="00CF59F7"/>
    <w:rsid w:val="00D0246C"/>
    <w:rsid w:val="00D04BCC"/>
    <w:rsid w:val="00D12483"/>
    <w:rsid w:val="00D17339"/>
    <w:rsid w:val="00D21973"/>
    <w:rsid w:val="00D2260D"/>
    <w:rsid w:val="00D24064"/>
    <w:rsid w:val="00D263CA"/>
    <w:rsid w:val="00D32019"/>
    <w:rsid w:val="00D35A2E"/>
    <w:rsid w:val="00D57F29"/>
    <w:rsid w:val="00D673DE"/>
    <w:rsid w:val="00D67434"/>
    <w:rsid w:val="00D91169"/>
    <w:rsid w:val="00D95E2C"/>
    <w:rsid w:val="00D97964"/>
    <w:rsid w:val="00DB3D37"/>
    <w:rsid w:val="00DB5854"/>
    <w:rsid w:val="00DB6948"/>
    <w:rsid w:val="00DC1E59"/>
    <w:rsid w:val="00DC31DC"/>
    <w:rsid w:val="00DC3FE4"/>
    <w:rsid w:val="00DD289F"/>
    <w:rsid w:val="00DD6BD6"/>
    <w:rsid w:val="00DD783C"/>
    <w:rsid w:val="00DE7BA5"/>
    <w:rsid w:val="00E01384"/>
    <w:rsid w:val="00E03D68"/>
    <w:rsid w:val="00E05C48"/>
    <w:rsid w:val="00E12DFC"/>
    <w:rsid w:val="00E13760"/>
    <w:rsid w:val="00E1553E"/>
    <w:rsid w:val="00E21725"/>
    <w:rsid w:val="00E25CF6"/>
    <w:rsid w:val="00E31AA0"/>
    <w:rsid w:val="00E33453"/>
    <w:rsid w:val="00E34063"/>
    <w:rsid w:val="00E35947"/>
    <w:rsid w:val="00E433A8"/>
    <w:rsid w:val="00E44ABA"/>
    <w:rsid w:val="00E54247"/>
    <w:rsid w:val="00E61CC2"/>
    <w:rsid w:val="00E6789F"/>
    <w:rsid w:val="00E8064F"/>
    <w:rsid w:val="00E920B5"/>
    <w:rsid w:val="00E963C4"/>
    <w:rsid w:val="00EA2BB9"/>
    <w:rsid w:val="00EA534A"/>
    <w:rsid w:val="00EA6B35"/>
    <w:rsid w:val="00EB0FEE"/>
    <w:rsid w:val="00EB27D1"/>
    <w:rsid w:val="00EC4F3D"/>
    <w:rsid w:val="00EC76DA"/>
    <w:rsid w:val="00EE1A18"/>
    <w:rsid w:val="00EE49B6"/>
    <w:rsid w:val="00EE6F66"/>
    <w:rsid w:val="00EE76CF"/>
    <w:rsid w:val="00EF2016"/>
    <w:rsid w:val="00F00404"/>
    <w:rsid w:val="00F01DC4"/>
    <w:rsid w:val="00F11256"/>
    <w:rsid w:val="00F15D13"/>
    <w:rsid w:val="00F20623"/>
    <w:rsid w:val="00F21524"/>
    <w:rsid w:val="00F23781"/>
    <w:rsid w:val="00F30E5F"/>
    <w:rsid w:val="00F3173F"/>
    <w:rsid w:val="00F32A1C"/>
    <w:rsid w:val="00F43733"/>
    <w:rsid w:val="00F5266E"/>
    <w:rsid w:val="00F530BA"/>
    <w:rsid w:val="00F53D2C"/>
    <w:rsid w:val="00F540FC"/>
    <w:rsid w:val="00F6032C"/>
    <w:rsid w:val="00F646E5"/>
    <w:rsid w:val="00F65F06"/>
    <w:rsid w:val="00F75746"/>
    <w:rsid w:val="00F86A7F"/>
    <w:rsid w:val="00F93B3E"/>
    <w:rsid w:val="00F96CB3"/>
    <w:rsid w:val="00FA336D"/>
    <w:rsid w:val="00FA3EEE"/>
    <w:rsid w:val="00FB3B58"/>
    <w:rsid w:val="00FD0ECA"/>
    <w:rsid w:val="00FD2B45"/>
    <w:rsid w:val="00FD54B0"/>
    <w:rsid w:val="00FD6AE0"/>
    <w:rsid w:val="00FD6AFB"/>
    <w:rsid w:val="00FE3CAE"/>
    <w:rsid w:val="00FE7D3C"/>
    <w:rsid w:val="00FF05D7"/>
    <w:rsid w:val="00FF34F7"/>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9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EE"/>
    <w:pPr>
      <w:widowControl w:val="0"/>
      <w:autoSpaceDE w:val="0"/>
      <w:autoSpaceDN w:val="0"/>
      <w:adjustRightInd w:val="0"/>
    </w:pPr>
  </w:style>
  <w:style w:type="paragraph" w:styleId="Heading1">
    <w:name w:val="heading 1"/>
    <w:basedOn w:val="Normal"/>
    <w:next w:val="Normal"/>
    <w:qFormat/>
    <w:rsid w:val="00B01217"/>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qFormat/>
    <w:rsid w:val="00907722"/>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907722"/>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EE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3EEE"/>
    <w:pPr>
      <w:tabs>
        <w:tab w:val="center" w:pos="4320"/>
        <w:tab w:val="right" w:pos="8640"/>
      </w:tabs>
    </w:pPr>
  </w:style>
  <w:style w:type="character" w:styleId="PageNumber">
    <w:name w:val="page number"/>
    <w:basedOn w:val="DefaultParagraphFont"/>
    <w:rsid w:val="00FA3EEE"/>
  </w:style>
  <w:style w:type="paragraph" w:styleId="BalloonText">
    <w:name w:val="Balloon Text"/>
    <w:basedOn w:val="Normal"/>
    <w:link w:val="BalloonTextChar"/>
    <w:rsid w:val="006A4DB6"/>
    <w:rPr>
      <w:rFonts w:ascii="Tahoma" w:hAnsi="Tahoma" w:cs="Tahoma"/>
      <w:sz w:val="16"/>
      <w:szCs w:val="16"/>
    </w:rPr>
  </w:style>
  <w:style w:type="character" w:customStyle="1" w:styleId="BalloonTextChar">
    <w:name w:val="Balloon Text Char"/>
    <w:link w:val="BalloonText"/>
    <w:rsid w:val="006A4DB6"/>
    <w:rPr>
      <w:rFonts w:ascii="Tahoma" w:hAnsi="Tahoma" w:cs="Tahoma"/>
      <w:sz w:val="16"/>
      <w:szCs w:val="16"/>
    </w:rPr>
  </w:style>
  <w:style w:type="character" w:styleId="CommentReference">
    <w:name w:val="annotation reference"/>
    <w:rsid w:val="00794F0B"/>
    <w:rPr>
      <w:sz w:val="16"/>
      <w:szCs w:val="16"/>
    </w:rPr>
  </w:style>
  <w:style w:type="paragraph" w:styleId="CommentText">
    <w:name w:val="annotation text"/>
    <w:basedOn w:val="Normal"/>
    <w:link w:val="CommentTextChar"/>
    <w:rsid w:val="00794F0B"/>
  </w:style>
  <w:style w:type="character" w:customStyle="1" w:styleId="CommentTextChar">
    <w:name w:val="Comment Text Char"/>
    <w:basedOn w:val="DefaultParagraphFont"/>
    <w:link w:val="CommentText"/>
    <w:rsid w:val="00794F0B"/>
  </w:style>
  <w:style w:type="paragraph" w:styleId="CommentSubject">
    <w:name w:val="annotation subject"/>
    <w:basedOn w:val="CommentText"/>
    <w:next w:val="CommentText"/>
    <w:link w:val="CommentSubjectChar"/>
    <w:rsid w:val="00794F0B"/>
    <w:rPr>
      <w:b/>
      <w:bCs/>
    </w:rPr>
  </w:style>
  <w:style w:type="character" w:customStyle="1" w:styleId="CommentSubjectChar">
    <w:name w:val="Comment Subject Char"/>
    <w:link w:val="CommentSubject"/>
    <w:rsid w:val="00794F0B"/>
    <w:rPr>
      <w:b/>
      <w:bCs/>
    </w:rPr>
  </w:style>
  <w:style w:type="paragraph" w:styleId="Header">
    <w:name w:val="header"/>
    <w:basedOn w:val="Normal"/>
    <w:link w:val="HeaderChar"/>
    <w:rsid w:val="004D4FA3"/>
    <w:pPr>
      <w:tabs>
        <w:tab w:val="center" w:pos="4680"/>
        <w:tab w:val="right" w:pos="9360"/>
      </w:tabs>
    </w:pPr>
  </w:style>
  <w:style w:type="character" w:customStyle="1" w:styleId="HeaderChar">
    <w:name w:val="Header Char"/>
    <w:basedOn w:val="DefaultParagraphFont"/>
    <w:link w:val="Header"/>
    <w:rsid w:val="004D4FA3"/>
  </w:style>
  <w:style w:type="character" w:customStyle="1" w:styleId="FooterChar">
    <w:name w:val="Footer Char"/>
    <w:basedOn w:val="DefaultParagraphFont"/>
    <w:link w:val="Footer"/>
    <w:uiPriority w:val="99"/>
    <w:rsid w:val="004D4FA3"/>
  </w:style>
  <w:style w:type="paragraph" w:styleId="ListParagraph">
    <w:name w:val="List Paragraph"/>
    <w:basedOn w:val="Normal"/>
    <w:uiPriority w:val="34"/>
    <w:qFormat/>
    <w:rsid w:val="00162B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EE"/>
    <w:pPr>
      <w:widowControl w:val="0"/>
      <w:autoSpaceDE w:val="0"/>
      <w:autoSpaceDN w:val="0"/>
      <w:adjustRightInd w:val="0"/>
    </w:pPr>
  </w:style>
  <w:style w:type="paragraph" w:styleId="Heading1">
    <w:name w:val="heading 1"/>
    <w:basedOn w:val="Normal"/>
    <w:next w:val="Normal"/>
    <w:qFormat/>
    <w:rsid w:val="00B01217"/>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qFormat/>
    <w:rsid w:val="00907722"/>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907722"/>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EE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3EEE"/>
    <w:pPr>
      <w:tabs>
        <w:tab w:val="center" w:pos="4320"/>
        <w:tab w:val="right" w:pos="8640"/>
      </w:tabs>
    </w:pPr>
  </w:style>
  <w:style w:type="character" w:styleId="PageNumber">
    <w:name w:val="page number"/>
    <w:basedOn w:val="DefaultParagraphFont"/>
    <w:rsid w:val="00FA3EEE"/>
  </w:style>
  <w:style w:type="paragraph" w:styleId="BalloonText">
    <w:name w:val="Balloon Text"/>
    <w:basedOn w:val="Normal"/>
    <w:link w:val="BalloonTextChar"/>
    <w:rsid w:val="006A4DB6"/>
    <w:rPr>
      <w:rFonts w:ascii="Tahoma" w:hAnsi="Tahoma" w:cs="Tahoma"/>
      <w:sz w:val="16"/>
      <w:szCs w:val="16"/>
    </w:rPr>
  </w:style>
  <w:style w:type="character" w:customStyle="1" w:styleId="BalloonTextChar">
    <w:name w:val="Balloon Text Char"/>
    <w:link w:val="BalloonText"/>
    <w:rsid w:val="006A4DB6"/>
    <w:rPr>
      <w:rFonts w:ascii="Tahoma" w:hAnsi="Tahoma" w:cs="Tahoma"/>
      <w:sz w:val="16"/>
      <w:szCs w:val="16"/>
    </w:rPr>
  </w:style>
  <w:style w:type="character" w:styleId="CommentReference">
    <w:name w:val="annotation reference"/>
    <w:rsid w:val="00794F0B"/>
    <w:rPr>
      <w:sz w:val="16"/>
      <w:szCs w:val="16"/>
    </w:rPr>
  </w:style>
  <w:style w:type="paragraph" w:styleId="CommentText">
    <w:name w:val="annotation text"/>
    <w:basedOn w:val="Normal"/>
    <w:link w:val="CommentTextChar"/>
    <w:rsid w:val="00794F0B"/>
  </w:style>
  <w:style w:type="character" w:customStyle="1" w:styleId="CommentTextChar">
    <w:name w:val="Comment Text Char"/>
    <w:basedOn w:val="DefaultParagraphFont"/>
    <w:link w:val="CommentText"/>
    <w:rsid w:val="00794F0B"/>
  </w:style>
  <w:style w:type="paragraph" w:styleId="CommentSubject">
    <w:name w:val="annotation subject"/>
    <w:basedOn w:val="CommentText"/>
    <w:next w:val="CommentText"/>
    <w:link w:val="CommentSubjectChar"/>
    <w:rsid w:val="00794F0B"/>
    <w:rPr>
      <w:b/>
      <w:bCs/>
    </w:rPr>
  </w:style>
  <w:style w:type="character" w:customStyle="1" w:styleId="CommentSubjectChar">
    <w:name w:val="Comment Subject Char"/>
    <w:link w:val="CommentSubject"/>
    <w:rsid w:val="00794F0B"/>
    <w:rPr>
      <w:b/>
      <w:bCs/>
    </w:rPr>
  </w:style>
  <w:style w:type="paragraph" w:styleId="Header">
    <w:name w:val="header"/>
    <w:basedOn w:val="Normal"/>
    <w:link w:val="HeaderChar"/>
    <w:rsid w:val="004D4FA3"/>
    <w:pPr>
      <w:tabs>
        <w:tab w:val="center" w:pos="4680"/>
        <w:tab w:val="right" w:pos="9360"/>
      </w:tabs>
    </w:pPr>
  </w:style>
  <w:style w:type="character" w:customStyle="1" w:styleId="HeaderChar">
    <w:name w:val="Header Char"/>
    <w:basedOn w:val="DefaultParagraphFont"/>
    <w:link w:val="Header"/>
    <w:rsid w:val="004D4FA3"/>
  </w:style>
  <w:style w:type="character" w:customStyle="1" w:styleId="FooterChar">
    <w:name w:val="Footer Char"/>
    <w:basedOn w:val="DefaultParagraphFont"/>
    <w:link w:val="Footer"/>
    <w:uiPriority w:val="99"/>
    <w:rsid w:val="004D4FA3"/>
  </w:style>
  <w:style w:type="paragraph" w:styleId="ListParagraph">
    <w:name w:val="List Paragraph"/>
    <w:basedOn w:val="Normal"/>
    <w:uiPriority w:val="34"/>
    <w:qFormat/>
    <w:rsid w:val="0016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2524">
      <w:bodyDiv w:val="1"/>
      <w:marLeft w:val="0"/>
      <w:marRight w:val="0"/>
      <w:marTop w:val="0"/>
      <w:marBottom w:val="0"/>
      <w:divBdr>
        <w:top w:val="none" w:sz="0" w:space="0" w:color="auto"/>
        <w:left w:val="none" w:sz="0" w:space="0" w:color="auto"/>
        <w:bottom w:val="none" w:sz="0" w:space="0" w:color="auto"/>
        <w:right w:val="none" w:sz="0" w:space="0" w:color="auto"/>
      </w:divBdr>
    </w:div>
    <w:div w:id="419832321">
      <w:bodyDiv w:val="1"/>
      <w:marLeft w:val="0"/>
      <w:marRight w:val="0"/>
      <w:marTop w:val="0"/>
      <w:marBottom w:val="0"/>
      <w:divBdr>
        <w:top w:val="none" w:sz="0" w:space="0" w:color="auto"/>
        <w:left w:val="none" w:sz="0" w:space="0" w:color="auto"/>
        <w:bottom w:val="none" w:sz="0" w:space="0" w:color="auto"/>
        <w:right w:val="none" w:sz="0" w:space="0" w:color="auto"/>
      </w:divBdr>
    </w:div>
    <w:div w:id="906526457">
      <w:bodyDiv w:val="1"/>
      <w:marLeft w:val="0"/>
      <w:marRight w:val="0"/>
      <w:marTop w:val="0"/>
      <w:marBottom w:val="0"/>
      <w:divBdr>
        <w:top w:val="none" w:sz="0" w:space="0" w:color="auto"/>
        <w:left w:val="none" w:sz="0" w:space="0" w:color="auto"/>
        <w:bottom w:val="none" w:sz="0" w:space="0" w:color="auto"/>
        <w:right w:val="none" w:sz="0" w:space="0" w:color="auto"/>
      </w:divBdr>
    </w:div>
    <w:div w:id="1190073495">
      <w:bodyDiv w:val="1"/>
      <w:marLeft w:val="0"/>
      <w:marRight w:val="0"/>
      <w:marTop w:val="0"/>
      <w:marBottom w:val="0"/>
      <w:divBdr>
        <w:top w:val="none" w:sz="0" w:space="0" w:color="auto"/>
        <w:left w:val="none" w:sz="0" w:space="0" w:color="auto"/>
        <w:bottom w:val="none" w:sz="0" w:space="0" w:color="auto"/>
        <w:right w:val="none" w:sz="0" w:space="0" w:color="auto"/>
      </w:divBdr>
      <w:divsChild>
        <w:div w:id="1960140138">
          <w:marLeft w:val="0"/>
          <w:marRight w:val="0"/>
          <w:marTop w:val="0"/>
          <w:marBottom w:val="0"/>
          <w:divBdr>
            <w:top w:val="none" w:sz="0" w:space="0" w:color="auto"/>
            <w:left w:val="none" w:sz="0" w:space="0" w:color="auto"/>
            <w:bottom w:val="none" w:sz="0" w:space="0" w:color="auto"/>
            <w:right w:val="none" w:sz="0" w:space="0" w:color="auto"/>
          </w:divBdr>
          <w:divsChild>
            <w:div w:id="215897424">
              <w:marLeft w:val="0"/>
              <w:marRight w:val="0"/>
              <w:marTop w:val="0"/>
              <w:marBottom w:val="0"/>
              <w:divBdr>
                <w:top w:val="none" w:sz="0" w:space="0" w:color="auto"/>
                <w:left w:val="none" w:sz="0" w:space="0" w:color="auto"/>
                <w:bottom w:val="none" w:sz="0" w:space="0" w:color="auto"/>
                <w:right w:val="none" w:sz="0" w:space="0" w:color="auto"/>
              </w:divBdr>
              <w:divsChild>
                <w:div w:id="1648432457">
                  <w:marLeft w:val="0"/>
                  <w:marRight w:val="0"/>
                  <w:marTop w:val="0"/>
                  <w:marBottom w:val="0"/>
                  <w:divBdr>
                    <w:top w:val="none" w:sz="0" w:space="0" w:color="auto"/>
                    <w:left w:val="none" w:sz="0" w:space="0" w:color="auto"/>
                    <w:bottom w:val="none" w:sz="0" w:space="0" w:color="auto"/>
                    <w:right w:val="none" w:sz="0" w:space="0" w:color="auto"/>
                  </w:divBdr>
                  <w:divsChild>
                    <w:div w:id="1976057499">
                      <w:marLeft w:val="2325"/>
                      <w:marRight w:val="0"/>
                      <w:marTop w:val="0"/>
                      <w:marBottom w:val="0"/>
                      <w:divBdr>
                        <w:top w:val="none" w:sz="0" w:space="0" w:color="auto"/>
                        <w:left w:val="none" w:sz="0" w:space="0" w:color="auto"/>
                        <w:bottom w:val="none" w:sz="0" w:space="0" w:color="auto"/>
                        <w:right w:val="none" w:sz="0" w:space="0" w:color="auto"/>
                      </w:divBdr>
                      <w:divsChild>
                        <w:div w:id="2026784826">
                          <w:marLeft w:val="0"/>
                          <w:marRight w:val="0"/>
                          <w:marTop w:val="0"/>
                          <w:marBottom w:val="0"/>
                          <w:divBdr>
                            <w:top w:val="none" w:sz="0" w:space="0" w:color="auto"/>
                            <w:left w:val="none" w:sz="0" w:space="0" w:color="auto"/>
                            <w:bottom w:val="none" w:sz="0" w:space="0" w:color="auto"/>
                            <w:right w:val="none" w:sz="0" w:space="0" w:color="auto"/>
                          </w:divBdr>
                          <w:divsChild>
                            <w:div w:id="709451275">
                              <w:marLeft w:val="0"/>
                              <w:marRight w:val="0"/>
                              <w:marTop w:val="0"/>
                              <w:marBottom w:val="0"/>
                              <w:divBdr>
                                <w:top w:val="none" w:sz="0" w:space="0" w:color="auto"/>
                                <w:left w:val="none" w:sz="0" w:space="0" w:color="auto"/>
                                <w:bottom w:val="none" w:sz="0" w:space="0" w:color="auto"/>
                                <w:right w:val="none" w:sz="0" w:space="0" w:color="auto"/>
                              </w:divBdr>
                              <w:divsChild>
                                <w:div w:id="596643588">
                                  <w:marLeft w:val="0"/>
                                  <w:marRight w:val="0"/>
                                  <w:marTop w:val="0"/>
                                  <w:marBottom w:val="0"/>
                                  <w:divBdr>
                                    <w:top w:val="none" w:sz="0" w:space="0" w:color="auto"/>
                                    <w:left w:val="none" w:sz="0" w:space="0" w:color="auto"/>
                                    <w:bottom w:val="none" w:sz="0" w:space="0" w:color="auto"/>
                                    <w:right w:val="none" w:sz="0" w:space="0" w:color="auto"/>
                                  </w:divBdr>
                                  <w:divsChild>
                                    <w:div w:id="1919099695">
                                      <w:marLeft w:val="0"/>
                                      <w:marRight w:val="0"/>
                                      <w:marTop w:val="0"/>
                                      <w:marBottom w:val="0"/>
                                      <w:divBdr>
                                        <w:top w:val="none" w:sz="0" w:space="0" w:color="auto"/>
                                        <w:left w:val="none" w:sz="0" w:space="0" w:color="auto"/>
                                        <w:bottom w:val="none" w:sz="0" w:space="0" w:color="auto"/>
                                        <w:right w:val="none" w:sz="0" w:space="0" w:color="auto"/>
                                      </w:divBdr>
                                      <w:divsChild>
                                        <w:div w:id="55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83654">
      <w:bodyDiv w:val="1"/>
      <w:marLeft w:val="0"/>
      <w:marRight w:val="0"/>
      <w:marTop w:val="0"/>
      <w:marBottom w:val="0"/>
      <w:divBdr>
        <w:top w:val="none" w:sz="0" w:space="0" w:color="auto"/>
        <w:left w:val="none" w:sz="0" w:space="0" w:color="auto"/>
        <w:bottom w:val="none" w:sz="0" w:space="0" w:color="auto"/>
        <w:right w:val="none" w:sz="0" w:space="0" w:color="auto"/>
      </w:divBdr>
    </w:div>
    <w:div w:id="1428118379">
      <w:bodyDiv w:val="1"/>
      <w:marLeft w:val="0"/>
      <w:marRight w:val="0"/>
      <w:marTop w:val="0"/>
      <w:marBottom w:val="0"/>
      <w:divBdr>
        <w:top w:val="none" w:sz="0" w:space="0" w:color="auto"/>
        <w:left w:val="none" w:sz="0" w:space="0" w:color="auto"/>
        <w:bottom w:val="none" w:sz="0" w:space="0" w:color="auto"/>
        <w:right w:val="none" w:sz="0" w:space="0" w:color="auto"/>
      </w:divBdr>
    </w:div>
    <w:div w:id="17538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EBE862D8296A4B894F5A97207D591F" ma:contentTypeVersion="0" ma:contentTypeDescription="Create a new document." ma:contentTypeScope="" ma:versionID="c9d9fd08211b07211018b0fc7d7d1686">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070D-30A9-4D67-9CE9-D64509102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0B64A5-C699-4F0D-9BC8-A9709F8B21BC}">
  <ds:schemaRefs>
    <ds:schemaRef ds:uri="http://schemas.microsoft.com/sharepoint/v3/contenttype/forms"/>
  </ds:schemaRefs>
</ds:datastoreItem>
</file>

<file path=customXml/itemProps3.xml><?xml version="1.0" encoding="utf-8"?>
<ds:datastoreItem xmlns:ds="http://schemas.openxmlformats.org/officeDocument/2006/customXml" ds:itemID="{C5BC9AB4-54A9-4F1E-988D-87137ECBE1EE}">
  <ds:schemaRefs>
    <ds:schemaRef ds:uri="http://schemas.microsoft.com/sharepoint/events"/>
  </ds:schemaRefs>
</ds:datastoreItem>
</file>

<file path=customXml/itemProps4.xml><?xml version="1.0" encoding="utf-8"?>
<ds:datastoreItem xmlns:ds="http://schemas.openxmlformats.org/officeDocument/2006/customXml" ds:itemID="{3925503E-9EF5-472A-8147-822ED6E29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BDCCC9B-5F44-8440-B9AA-B8980029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6636</Words>
  <Characters>37831</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KKuha</dc:creator>
  <cp:lastModifiedBy>Steve Kaye</cp:lastModifiedBy>
  <cp:revision>2</cp:revision>
  <dcterms:created xsi:type="dcterms:W3CDTF">2016-02-02T10:32:00Z</dcterms:created>
  <dcterms:modified xsi:type="dcterms:W3CDTF">2016-02-02T10:32:00Z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0x0101000AEBE862D8296A4B894F5A97207D591F</vt:lpwstr>
  </property>
  <property fmtid="{D5CDD505-2E9C-101B-9397-08002B2CF9AE}" pid="3" name="Category">
    <vt:lpwstr>Submission_to_CMS</vt:lpwstr>
  </property>
</Properties>
</file>